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和田职业技术学院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根据《中华人民共和国教育法》、《中华人民共和国高等教育法》和教育部相关规定，结合学校专科招生工作的具体情况，制定本章程。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本章程适用于和田职业技术学院高职专科招生工作。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的原则，德智体美劳全面考核、综合评价、择优录取考生，并接受纪检监察部门、新闻媒体、考生及其家长以及社会各界的监督。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学校全称：和田职业技术学院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学校代码：</w:t>
      </w:r>
      <w:r>
        <w:rPr>
          <w:rFonts w:ascii="Times New Roman" w:eastAsia="Times New Roman" w:hAnsi="Times New Roman" w:cs="Times New Roman"/>
        </w:rPr>
        <w:t xml:space="preserve">14652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学校隶属部门：和田地区行署；学院业务主管部门为新疆维吾尔自治区教育厅。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学校地址：和田市北京工业园区京怀大道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学校简介：学院于</w:t>
      </w:r>
      <w:r>
        <w:rPr>
          <w:rFonts w:ascii="Times New Roman" w:eastAsia="Times New Roman" w:hAnsi="Times New Roman" w:cs="Times New Roman"/>
        </w:rPr>
        <w:t>2018</w:t>
      </w:r>
      <w:r>
        <w:rPr>
          <w:rFonts w:ascii="SimSun" w:eastAsia="SimSun" w:hAnsi="SimSun" w:cs="SimSun"/>
        </w:rPr>
        <w:t>年批准成立，现有六个系部，包括工程技术系、工艺美术系、经济管理系、农业科技系、社会管理系和旅游管理系，开设汽车检测与维修技术、计算机网络技术、服装设计与工艺、电子商务、会计、园艺技术、民政管理、烹调工艺与营养、旅游管理九个专业，为相关行业培养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由学院领导和相关职能部门负责人组成的招生工作领导小组，全面负责贯彻执行教育部、新疆维吾尔自治区教育考试院及教育主管部门的有关招生工作政策，负责制定招生简章、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与就业处为学院招生工作领导小组的常设机构，负责编制、上报年度招生计划、组织招生咨询宣传、远程网上录取、负责解释和咨询有关招生政策、做好与上级招生部门的工作衔接、做好招生期间来信来访工作及录取通知书的印制与发放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学院分专业招生计划分配及有关要求以自治区教育考试院当年下达</w:t>
      </w:r>
      <w:r>
        <w:rPr>
          <w:rFonts w:ascii="Times New Roman" w:eastAsia="Times New Roman" w:hAnsi="Times New Roman" w:cs="Times New Roman"/>
        </w:rPr>
        <w:t>2019</w:t>
      </w:r>
      <w:r>
        <w:rPr>
          <w:rFonts w:ascii="SimSun" w:eastAsia="SimSun" w:hAnsi="SimSun" w:cs="SimSun"/>
        </w:rPr>
        <w:t>年招生计划书批准为准。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坚持公平、公正、公开和择优录取的原则。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对相关科目成绩无特殊要求。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考生填报我院各专业志愿的具体情况，所有投档考生按考分排队由高到低录取，第一专业志愿无法满足的，录取第二个专业志愿，所有专业志愿都无法满足的，如果服从专业调剂，将由学院根据分数调剂到相应专业。高考成绩无法满足所填报的专业志愿，又不服从调剂的，做退档处理。接收非第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双语类、民语言类考生在平行志愿投档时，统考科目成绩总分相同时，则按单科顺序及分数从高到底排序。单科成绩的排序为：文史类：语文、文科综合、文科数学、民族语文；理工类：理科数学、理科综合、语文、民族语文。普通类、单列类考生在平行志愿投档时，统考科目成绩总分相同时，则按单科顺序及分数从高到低排序。单科成绩排序顺序为：文史类：数学、文科综合、语文；理工类：数学、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学院各专业均无加试要求。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往届生录取按照自治区考试院的有关规定办理，和应届生一视同仁。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对享受加分政策的考生，可按自治区考试院的规定加分提档。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我校公共课程中的外语为大学英语，外语语种非英语的考生应慎重报考。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体检标准严格遵照《普通高等学院招生体检标准》的规定。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学校按照自治区物价局核定的标准收取学费。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民语言类学生在校共学习四年，第一年为预科，后三年为专业课学习和教育实习；双语类考生到校后参加学校组织的国家通用语言文字水平考试，成绩合格的直接学习专业课，不合格的加一年预科，预科在校期间学费、住宿费由自治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复查中发现学生身心状况不适宜在校学习，经学校指定的二级甲等以上医院诊断，需要在家休养的，可以申请保留入学资格。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有经济困难的学生，学校设有国家励志奖学金、国家助学金、自治区人民政府高校助学金，并在校内设立勤工助学岗位等，根据国家奖助学金管理办法，按照学校在校学生的实际情况进行发放，帮助学生顺路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学生报到时，应接转党团组织关系。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:0903--7822018  7824830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t>
      </w:r>
      <w:r>
        <w:rPr>
          <w:rFonts w:ascii="SimSun" w:eastAsia="SimSun" w:hAnsi="SimSun" w:cs="SimSun"/>
        </w:rPr>
        <w:t>新疆和田市北京工业园区京怀大道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E-mail:htzyjsxy@sina.com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本章程由学院招生就业处负责解释，在招生咨询期间学院咨询人员的意见、建议仅作为考生填报志愿的参考，不属学院录取承诺，政策以文字表述为准。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录取结果公布渠道：录取结果通过自治区考试院网站、咨询电话、学校邮寄录取通知书公布。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吐鲁番职业技术学院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1.html" TargetMode="External" /><Relationship Id="rId5" Type="http://schemas.openxmlformats.org/officeDocument/2006/relationships/hyperlink" Target="http://www.gk114.com/a/gxzs/zszc/xinjiang/2019/0607/952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