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嘉兴学院南湖学院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为了规范招生工作，确保招生工作顺利进行，根据《中华人民共和国教育法》、《中华人民共和国高等教育法》和教育主管部门有关规定，结合我校实际情况，制定本章程。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年嘉兴学院南湖学院全日制普通本科招生工作。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学校全称和国家代码：嘉兴学院南湖学院，</w:t>
      </w:r>
      <w:r>
        <w:rPr>
          <w:rFonts w:ascii="Times New Roman" w:eastAsia="Times New Roman" w:hAnsi="Times New Roman" w:cs="Times New Roman"/>
        </w:rPr>
        <w:t>13291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颁发毕业证书及学位证书的学校名称：嘉兴学院南湖学院。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办学地点：浙江省嘉兴市越秀南路</w:t>
      </w:r>
      <w:r>
        <w:rPr>
          <w:rFonts w:ascii="Times New Roman" w:eastAsia="Times New Roman" w:hAnsi="Times New Roman" w:cs="Times New Roman"/>
        </w:rPr>
        <w:t>56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学校简介：学校是经教育部批准设立的具有独立法人资格的独立学院。校址位于闻名遐迩的革命圣地</w:t>
      </w:r>
      <w:r>
        <w:rPr>
          <w:rFonts w:ascii="Times New Roman" w:eastAsia="Times New Roman" w:hAnsi="Times New Roman" w:cs="Times New Roman"/>
        </w:rPr>
        <w:t>——</w:t>
      </w:r>
      <w:r>
        <w:rPr>
          <w:rFonts w:ascii="SimSun" w:eastAsia="SimSun" w:hAnsi="SimSun" w:cs="SimSun"/>
        </w:rPr>
        <w:t>浙江省嘉兴市南湖之畔。学校依托母体嘉兴学院办学，按照</w:t>
      </w:r>
      <w:r>
        <w:rPr>
          <w:rFonts w:ascii="Times New Roman" w:eastAsia="Times New Roman" w:hAnsi="Times New Roman" w:cs="Times New Roman"/>
        </w:rPr>
        <w:t>“</w:t>
      </w:r>
      <w:r>
        <w:rPr>
          <w:rFonts w:ascii="SimSun" w:eastAsia="SimSun" w:hAnsi="SimSun" w:cs="SimSun"/>
        </w:rPr>
        <w:t>独立办学、资源共享、规范运行</w:t>
      </w:r>
      <w:r>
        <w:rPr>
          <w:rFonts w:ascii="Times New Roman" w:eastAsia="Times New Roman" w:hAnsi="Times New Roman" w:cs="Times New Roman"/>
        </w:rPr>
        <w:t>”</w:t>
      </w:r>
      <w:r>
        <w:rPr>
          <w:rFonts w:ascii="SimSun" w:eastAsia="SimSun" w:hAnsi="SimSun" w:cs="SimSun"/>
        </w:rPr>
        <w:t>办学方针，与母体实行资源共享，具有得天独厚的办学优势。学校部分专业实行</w:t>
      </w:r>
      <w:r>
        <w:rPr>
          <w:rFonts w:ascii="Times New Roman" w:eastAsia="Times New Roman" w:hAnsi="Times New Roman" w:cs="Times New Roman"/>
        </w:rPr>
        <w:t>“</w:t>
      </w:r>
      <w:r>
        <w:rPr>
          <w:rFonts w:ascii="SimSun" w:eastAsia="SimSun" w:hAnsi="SimSun" w:cs="SimSun"/>
        </w:rPr>
        <w:t>按大类招生，一年后进行专业分流</w:t>
      </w:r>
      <w:r>
        <w:rPr>
          <w:rFonts w:ascii="Times New Roman" w:eastAsia="Times New Roman" w:hAnsi="Times New Roman" w:cs="Times New Roman"/>
        </w:rPr>
        <w:t>”</w:t>
      </w:r>
      <w:r>
        <w:rPr>
          <w:rFonts w:ascii="SimSun" w:eastAsia="SimSun" w:hAnsi="SimSun" w:cs="SimSun"/>
        </w:rPr>
        <w:t>的招生和教学管理模式，加大学生专业自主选择权。学校秉承</w:t>
      </w:r>
      <w:r>
        <w:rPr>
          <w:rFonts w:ascii="Times New Roman" w:eastAsia="Times New Roman" w:hAnsi="Times New Roman" w:cs="Times New Roman"/>
        </w:rPr>
        <w:t>“</w:t>
      </w:r>
      <w:r>
        <w:rPr>
          <w:rFonts w:ascii="SimSun" w:eastAsia="SimSun" w:hAnsi="SimSun" w:cs="SimSun"/>
        </w:rPr>
        <w:t>方正为人、勤慎治学</w:t>
      </w:r>
      <w:r>
        <w:rPr>
          <w:rFonts w:ascii="Times New Roman" w:eastAsia="Times New Roman" w:hAnsi="Times New Roman" w:cs="Times New Roman"/>
        </w:rPr>
        <w:t>”</w:t>
      </w:r>
      <w:r>
        <w:rPr>
          <w:rFonts w:ascii="SimSun" w:eastAsia="SimSun" w:hAnsi="SimSun" w:cs="SimSun"/>
        </w:rPr>
        <w:t>的校训精神，以提高教学质量为重点，改革人才培养模式，积极为学生健康成长搭建平台，加强专业技能培训力度，努力提高学生综合竞争力，培养具有社会责任感、创新创业精神和实践能力的高素质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学校成立招生就业工作委员会，负责全日制普通本科招生工作，研究、制定学校招生政策，并对重大事项作出决策。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学校招生办公室是组织和实施招生相关工作的常设机构，具体负责普通本科招生的日常工作。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学校监察部门对学校招生工作实施全过程监督。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23</w:t>
      </w:r>
      <w:r>
        <w:rPr>
          <w:rFonts w:ascii="SimSun" w:eastAsia="SimSun" w:hAnsi="SimSun" w:cs="SimSun"/>
        </w:rPr>
        <w:t>个省（市、自治区）招生，根据社会和经济发展对人才培养的需求情况，结合我校自身的实际，以生源质量为先导，兼顾地区平衡等原则，确定生源计划的编制。具体招生计划以各省（市、自治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学校各专业按照各省（市、自治区）招生主管部门公布的批次招生。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学校对按专业大类招生的学生采取</w:t>
      </w:r>
      <w:r>
        <w:rPr>
          <w:rFonts w:ascii="Times New Roman" w:eastAsia="Times New Roman" w:hAnsi="Times New Roman" w:cs="Times New Roman"/>
        </w:rPr>
        <w:t>“1+3”</w:t>
      </w:r>
      <w:r>
        <w:rPr>
          <w:rFonts w:ascii="SimSun" w:eastAsia="SimSun" w:hAnsi="SimSun" w:cs="SimSun"/>
        </w:rPr>
        <w:t>模式，学生在完成一年的大类基础课程学习后，根据自身的专业发展目标、兴趣特长和相关专业成绩等进行专业分流，正式进入确定后的专业学习，具体实施按照相关专业（大类）分流的实施方案执行。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招生录取工作严格遵守教育部、各省（市、自治区）招生主管部门的有关政策和规定，执行</w:t>
      </w:r>
      <w:r>
        <w:rPr>
          <w:rFonts w:ascii="Times New Roman" w:eastAsia="Times New Roman" w:hAnsi="Times New Roman" w:cs="Times New Roman"/>
        </w:rPr>
        <w:t>“</w:t>
      </w:r>
      <w:r>
        <w:rPr>
          <w:rFonts w:ascii="SimSun" w:eastAsia="SimSun" w:hAnsi="SimSun" w:cs="SimSun"/>
        </w:rPr>
        <w:t>学校负责，各省（市、自治区）招生主管部门监督</w:t>
      </w:r>
      <w:r>
        <w:rPr>
          <w:rFonts w:ascii="Times New Roman" w:eastAsia="Times New Roman" w:hAnsi="Times New Roman" w:cs="Times New Roman"/>
        </w:rPr>
        <w:t>”</w:t>
      </w:r>
      <w:r>
        <w:rPr>
          <w:rFonts w:ascii="SimSun" w:eastAsia="SimSun" w:hAnsi="SimSun" w:cs="SimSun"/>
        </w:rPr>
        <w:t>的录取制度，严格遵循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学校根据各省（市、自治区）招生主管部门提供的当批次录取控制分数线以上生源情况，调阅考生档案的比例为</w:t>
      </w:r>
      <w:r>
        <w:rPr>
          <w:rFonts w:ascii="Times New Roman" w:eastAsia="Times New Roman" w:hAnsi="Times New Roman" w:cs="Times New Roman"/>
        </w:rPr>
        <w:t>100%-105%</w:t>
      </w:r>
      <w:r>
        <w:rPr>
          <w:rFonts w:ascii="SimSun" w:eastAsia="SimSun" w:hAnsi="SimSun" w:cs="SimSun"/>
        </w:rPr>
        <w:t>，具体比例视各省（市、自治区）情况而定。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学校录取的新生男女比例不限。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身体健康要求按教育部等部门联合制定的《普通高等学校招生体检工作指导意见》和《关于进一步规范入学和就业体检项目维护乙肝表面抗原携带者入学和就业权利的通知》的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学校可以不予以录取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的，我校原则上按不录取执行。按专业大类招生的考生，专业分流时，不得分流至受限专业。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学校外语公共课为英语。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学校英语专业只招英语语种考生。按满分</w:t>
      </w:r>
      <w:r>
        <w:rPr>
          <w:rFonts w:ascii="Times New Roman" w:eastAsia="Times New Roman" w:hAnsi="Times New Roman" w:cs="Times New Roman"/>
        </w:rPr>
        <w:t>150</w:t>
      </w:r>
      <w:r>
        <w:rPr>
          <w:rFonts w:ascii="SimSun" w:eastAsia="SimSun" w:hAnsi="SimSun" w:cs="SimSun"/>
        </w:rPr>
        <w:t>分制计算，报考英语专业的考生（浙江省、上海市除外），其高考英语成绩要求</w:t>
      </w:r>
      <w:r>
        <w:rPr>
          <w:rFonts w:ascii="Times New Roman" w:eastAsia="Times New Roman" w:hAnsi="Times New Roman" w:cs="Times New Roman"/>
        </w:rPr>
        <w:t>100</w:t>
      </w:r>
      <w:r>
        <w:rPr>
          <w:rFonts w:ascii="SimSun" w:eastAsia="SimSun" w:hAnsi="SimSun" w:cs="SimSun"/>
        </w:rPr>
        <w:t>分（含）以上。录取中因考生单科受限原因造成的退档由考生本人负责。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学校执行考生所在省（市、自治区）关于志愿投档顺序的有关规定。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省、上海市：同分考生按照考生位次先后进行录取，考生位次根据考生所在省份排序规定执行。学校对面向浙江和上海的招生专业（专业大类）设定选考科目要求，考生所填报的专业（专业大类）志愿须满足该专业（专业大类）选考科目要求。考生选考科目与填报专业不符的，学校均予以退档处理，由此产生的后果，由考生本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浙江省执行专业平行志愿投档方案，对进档考生，按所投档专业（专业大类）进行录取。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执行专业组平行志愿投档方案，对进档考生，按专业组投档结果分别进行专业录取。对未能满足所填专业志愿的进档考生，且服从专业调剂的，将其随机调录到考生所投档的专业组内录取未满计划的专业，不符合未满计划专业报考条件的，原则上予以退档。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（二）其他省份：进档考生专业安排办法实行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投档成绩从高分到低分排序后，按专业志愿顺序录取。同分考生，排序按照各省（市、自治区）的规定执行，未对同分考生做排序的，总分相同时，则按文化课总分高低（剔除加分）排序，文化课总分仍相同再按单科分数高低。单科排列顺序：理科为数学、理科综合、语文、外语；文科为语文、文科综合、数学、外语。对未能满足所填专业志愿的进档考生，且服从专业调剂的，将其随机调录到录取未满计划的专业，不符合未满计划专业报考条件的，原则上予以退档。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其中江苏省考生录取条件以江苏省教育考试院公布的为准，按照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择优录取。当投档成绩相同时，选测科目等级高者优先（优先录取的等级顺序为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C→AB→B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→AC→B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C→BB→BC</w:t>
      </w:r>
      <w:r>
        <w:rPr>
          <w:rFonts w:ascii="SimSun" w:eastAsia="SimSun" w:hAnsi="SimSun" w:cs="SimSun"/>
        </w:rPr>
        <w:t>），如仍相同，再按单科顺序及分数高低依次录取，文科按语文、数学、外语排序，理科按数学、语文、外语排序。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学校录取结果将按照教育部和各省（市、自治区）的有关要求及规定的形式进行公布。考生可登陆学校招生网站查询。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入学复查、收费、激励和资助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我校录取的新生，应在学校规定时间内到校办理入学手续，学校对新生入学资格进行初步审查，审查合格，予以注册学籍。因故不能按期入学者，应以书面形式并附有相关证明向学校招生部门请假，请假时间一般不得超过</w:t>
      </w:r>
      <w:r>
        <w:rPr>
          <w:rFonts w:ascii="Times New Roman" w:eastAsia="Times New Roman" w:hAnsi="Times New Roman" w:cs="Times New Roman"/>
        </w:rPr>
        <w:t>2</w:t>
      </w:r>
      <w:r>
        <w:rPr>
          <w:rFonts w:ascii="SimSun" w:eastAsia="SimSun" w:hAnsi="SimSun" w:cs="SimSun"/>
        </w:rPr>
        <w:t>周。未请假或请假逾期者，除因不可抗力等正当事由以外，视为放弃入学资格。新生入学后，学校在三个月内按照国家招生规定对其进行复查。凡有不符合条件或有舞弊行为的，由学校区别情况，予以处理，直至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学校收费严格按照浙江省物价部门批文和有关规定执行。目前学校尚未与银行开通助学贷款业务，考生填报志愿时请慎重选择。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学校对优秀学生的激励、资助措施。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（一）学校对浙江省考生设新生奖学金，奖励金额为</w:t>
      </w:r>
      <w:r>
        <w:rPr>
          <w:rFonts w:ascii="Times New Roman" w:eastAsia="Times New Roman" w:hAnsi="Times New Roman" w:cs="Times New Roman"/>
        </w:rPr>
        <w:t>20000</w:t>
      </w:r>
      <w:r>
        <w:rPr>
          <w:rFonts w:ascii="SimSun" w:eastAsia="SimSun" w:hAnsi="SimSun" w:cs="SimSun"/>
        </w:rPr>
        <w:t>元。高考投档成绩达浙江省一段线的浙江省新生，报到入学后可向招生办提交申请。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（二）为贯彻</w:t>
      </w:r>
      <w:r>
        <w:rPr>
          <w:rFonts w:ascii="Times New Roman" w:eastAsia="Times New Roman" w:hAnsi="Times New Roman" w:cs="Times New Roman"/>
        </w:rPr>
        <w:t>“</w:t>
      </w:r>
      <w:r>
        <w:rPr>
          <w:rFonts w:ascii="SimSun" w:eastAsia="SimSun" w:hAnsi="SimSun" w:cs="SimSun"/>
        </w:rPr>
        <w:t>最适教育，最佳发展</w:t>
      </w:r>
      <w:r>
        <w:rPr>
          <w:rFonts w:ascii="Times New Roman" w:eastAsia="Times New Roman" w:hAnsi="Times New Roman" w:cs="Times New Roman"/>
        </w:rPr>
        <w:t>”</w:t>
      </w:r>
      <w:r>
        <w:rPr>
          <w:rFonts w:ascii="SimSun" w:eastAsia="SimSun" w:hAnsi="SimSun" w:cs="SimSun"/>
        </w:rPr>
        <w:t>理念，满足学生个性化成长、多元化成才需要，学生在一年级、二年级阶段均可以申请转专业，具体见《嘉兴学院南湖学院学生转专业（大类）管理办法》。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（三）学校与嘉兴学院之间架构人才培养立交桥。即在第二学年，选拔不超过</w:t>
      </w:r>
      <w:r>
        <w:rPr>
          <w:rFonts w:ascii="Times New Roman" w:eastAsia="Times New Roman" w:hAnsi="Times New Roman" w:cs="Times New Roman"/>
        </w:rPr>
        <w:t>2%</w:t>
      </w:r>
      <w:r>
        <w:rPr>
          <w:rFonts w:ascii="SimSun" w:eastAsia="SimSun" w:hAnsi="SimSun" w:cs="SimSun"/>
        </w:rPr>
        <w:t>的品学特优学生转入嘉兴学院同类专业或相近专业就读，具体见《嘉兴学院关于选拔南湖学院部分优秀学生到校本部学习的实施意见》。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设陈省身学生奖，陈省身奖为学校最高荣誉称号；学生奖学金设优秀学生奖学金、素质拓展奖学金（学习进步奖学金、科技成果奖学金、文体活动奖学金、公益活动奖学金）、学科竞赛奖学金、院长奖学金共四类。同时参加国家奖学金、浙江省政府奖学金的评选。获奖面为</w:t>
      </w:r>
      <w:r>
        <w:rPr>
          <w:rFonts w:ascii="Times New Roman" w:eastAsia="Times New Roman" w:hAnsi="Times New Roman" w:cs="Times New Roman"/>
        </w:rPr>
        <w:t>40%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（五）学校助学金有福慧慈善奖学金、吴明福助学金、中房助学金、丰跃奖学金、</w:t>
      </w:r>
      <w:r>
        <w:rPr>
          <w:rFonts w:ascii="Times New Roman" w:eastAsia="Times New Roman" w:hAnsi="Times New Roman" w:cs="Times New Roman"/>
        </w:rPr>
        <w:t>LUCECO</w:t>
      </w:r>
      <w:r>
        <w:rPr>
          <w:rFonts w:ascii="SimSun" w:eastAsia="SimSun" w:hAnsi="SimSun" w:cs="SimSun"/>
        </w:rPr>
        <w:t>奖学金等，同时参加国家励志奖学金评选，实行勤工助学、困难补助、学费减免等多元资助政策，开通经济困难新生入学报到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（六）学校设立了多个出国（境）交流项目，选拔成绩优异者赴美国新泽西城市大学、西密苏里大学、德国</w:t>
      </w:r>
      <w:r>
        <w:rPr>
          <w:rFonts w:ascii="Times New Roman" w:eastAsia="Times New Roman" w:hAnsi="Times New Roman" w:cs="Times New Roman"/>
        </w:rPr>
        <w:t>Hochschule für Technik,Wirtschaft und Kultur Leipzig</w:t>
      </w:r>
      <w:r>
        <w:rPr>
          <w:rFonts w:ascii="SimSun" w:eastAsia="SimSun" w:hAnsi="SimSun" w:cs="SimSun"/>
        </w:rPr>
        <w:t>、法国工程师学校、英国利物浦约翰摩尔大学、澳大利亚南昆士兰大学、日本中部大学、韩国加图立关东大学、新西兰怀托大学、丹麦澳尔堡大学、捷克布拉格纽约大学等学校交流学习，并提供部分经费资助。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nhxy.zjxu.edu.cn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招生信息网址：</w:t>
      </w:r>
      <w:r>
        <w:rPr>
          <w:rFonts w:ascii="Times New Roman" w:eastAsia="Times New Roman" w:hAnsi="Times New Roman" w:cs="Times New Roman"/>
        </w:rPr>
        <w:t xml:space="preserve">nhxyzs.zjxu.edu.cn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0573-83640000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0573-83642036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咨询号码：</w:t>
      </w:r>
      <w:r>
        <w:rPr>
          <w:rFonts w:ascii="Times New Roman" w:eastAsia="Times New Roman" w:hAnsi="Times New Roman" w:cs="Times New Roman"/>
        </w:rPr>
        <w:t xml:space="preserve">248813291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招生微信号：</w:t>
      </w:r>
      <w:r>
        <w:rPr>
          <w:rFonts w:ascii="Times New Roman" w:eastAsia="Times New Roman" w:hAnsi="Times New Roman" w:cs="Times New Roman"/>
        </w:rPr>
        <w:t xml:space="preserve">zjxuzs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通讯地址：浙江省嘉兴市越秀南路</w:t>
      </w:r>
      <w:r>
        <w:rPr>
          <w:rFonts w:ascii="Times New Roman" w:eastAsia="Times New Roman" w:hAnsi="Times New Roman" w:cs="Times New Roman"/>
        </w:rPr>
        <w:t>56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314001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本章程由嘉兴学院南湖学院招生办公室负责解释。本章程若有与国家和上级有关政策不一致之处，以国家和上级有关政策为准。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9.html" TargetMode="External" /><Relationship Id="rId5" Type="http://schemas.openxmlformats.org/officeDocument/2006/relationships/hyperlink" Target="http://www.gk114.com/a/gxzs/zszc/zhejiang/2019/0630/10421.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