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大兴安岭职业学院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一、院校名称：大兴安岭职业学院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二、院校地址：黑龙江省大兴安岭地区加格达奇区机场路</w:t>
      </w:r>
      <w:r>
        <w:rPr>
          <w:rFonts w:ascii="Times New Roman" w:eastAsia="Times New Roman" w:hAnsi="Times New Roman" w:cs="Times New Roman"/>
        </w:rPr>
        <w:t>18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三、办学性质：公办综合性普通高等学校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四、办学层次：高职专科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五、学习形式：普通全日制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六、学院概况：国家公办、独立设置的大兴安岭职业学院是黑龙江省骨干高等职业院校，是中国最北的高校，也是大兴安岭地区唯一的高等学府。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七、录取规则：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、学院认真贯彻全国普通高等学校招生规则，严格执行省级招生政策及规定。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、按照各省招生办（考试院）制定的投档比例接受投档，学院坚持</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、当某考生所有专业志愿均不能满足，服从专业调剂的考生，将其随机调录到录取计划未满的专业；不服从专业调剂的考生，将予以退档。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、如遇考生总分相同，则按单科顺序及分数从高到低进行排序；单科成绩的排列顺序为：文史类为语文、外语、文科综合、数学，理工类为数学、外语、理科综合、语文。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、无专业志愿间的级差分。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、报考考生身体健康状况需符合《普通高等学校招生体检标准》的要求。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八、录取结果：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录取结果通过省招生考试信息港和学院网站发布，考生可网上查询。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九、收费标准：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w:t>
      </w:r>
      <w:r>
        <w:rPr>
          <w:rFonts w:ascii="Times New Roman" w:eastAsia="Times New Roman" w:hAnsi="Times New Roman" w:cs="Times New Roman"/>
        </w:rPr>
        <w:t xml:space="preserve">  </w:t>
      </w:r>
      <w:r>
        <w:rPr>
          <w:rFonts w:ascii="SimSun" w:eastAsia="SimSun" w:hAnsi="SimSun" w:cs="SimSun"/>
        </w:rPr>
        <w:t>费：分专业每生</w:t>
      </w:r>
      <w:r>
        <w:rPr>
          <w:rFonts w:ascii="Times New Roman" w:eastAsia="Times New Roman" w:hAnsi="Times New Roman" w:cs="Times New Roman"/>
        </w:rPr>
        <w:t>4000-6000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年，具体以发改委、财政部门批复标准执行。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住宿费：学生宿舍每生</w:t>
      </w:r>
      <w:r>
        <w:rPr>
          <w:rFonts w:ascii="Times New Roman" w:eastAsia="Times New Roman" w:hAnsi="Times New Roman" w:cs="Times New Roman"/>
        </w:rPr>
        <w:t>800-1000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年，学生公寓每生</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年，具体以物价、财政部门批复标准执行。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十、资助条款：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设有国家奖学金、国家励志奖学金等多项奖学金，奖励品学兼优的学生；家庭经济困难学生可以申请国家助学金；学院还协助家庭经济困难学生办理在校期间免息的生源地信用助学贷款或入学后申请办理校园地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本章程将根据教育部、生源地省级招生管理部门当年招生政策的调整进行修订。本章程若与国家法律、法规和上级有关政策相抵触，以国家法律、法规和上级有关政策为准。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通讯地址：黑龙江省大兴安岭地区加格达奇区机场路</w:t>
      </w:r>
      <w:r>
        <w:rPr>
          <w:rFonts w:ascii="Times New Roman" w:eastAsia="Times New Roman" w:hAnsi="Times New Roman" w:cs="Times New Roman"/>
        </w:rPr>
        <w:t>18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咨询电话：</w:t>
      </w:r>
      <w:r>
        <w:rPr>
          <w:rFonts w:ascii="Times New Roman" w:eastAsia="Times New Roman" w:hAnsi="Times New Roman" w:cs="Times New Roman"/>
        </w:rPr>
        <w:t xml:space="preserve">0457-2172337  0457-2172335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传</w:t>
      </w:r>
      <w:r>
        <w:rPr>
          <w:rFonts w:ascii="Times New Roman" w:eastAsia="Times New Roman" w:hAnsi="Times New Roman" w:cs="Times New Roman"/>
        </w:rPr>
        <w:t>     </w:t>
      </w:r>
      <w:r>
        <w:rPr>
          <w:rFonts w:ascii="SimSun" w:eastAsia="SimSun" w:hAnsi="SimSun" w:cs="SimSun"/>
        </w:rPr>
        <w:t>真：</w:t>
      </w:r>
      <w:r>
        <w:rPr>
          <w:rFonts w:ascii="Times New Roman" w:eastAsia="Times New Roman" w:hAnsi="Times New Roman" w:cs="Times New Roman"/>
        </w:rPr>
        <w:t xml:space="preserve">0457-2172335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学院网址：</w:t>
      </w:r>
      <w:r>
        <w:rPr>
          <w:rFonts w:ascii="Times New Roman" w:eastAsia="Times New Roman" w:hAnsi="Times New Roman" w:cs="Times New Roman"/>
        </w:rPr>
        <w:t xml:space="preserve">http://www.dxalu.org.cn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电子邮箱：</w:t>
      </w:r>
      <w:r>
        <w:rPr>
          <w:rFonts w:ascii="Times New Roman" w:eastAsia="Times New Roman" w:hAnsi="Times New Roman" w:cs="Times New Roman"/>
        </w:rPr>
        <w:t xml:space="preserve">zsb513@126.com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邮政编码：</w:t>
      </w:r>
      <w:r>
        <w:rPr>
          <w:rFonts w:ascii="Times New Roman" w:eastAsia="Times New Roman" w:hAnsi="Times New Roman" w:cs="Times New Roman"/>
        </w:rPr>
        <w:t xml:space="preserve">165099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黑龙江司法警官职业学院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哈尔滨铁道职业技术学院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1/0328/19270.html" TargetMode="External" /><Relationship Id="rId5" Type="http://schemas.openxmlformats.org/officeDocument/2006/relationships/hyperlink" Target="http://www.gk114.com/a/gxzs/zszc/jilin/2021/0328/19272.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