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大理大学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SimHei" w:eastAsia="SimHei" w:hAnsi="SimHei" w:cs="SimHei"/>
          <w:b/>
          <w:bCs/>
          <w:color w:val="666666"/>
          <w:sz w:val="32"/>
          <w:szCs w:val="32"/>
        </w:rPr>
        <w:t>第一章</w:t>
      </w:r>
      <w:r>
        <w:rPr>
          <w:rFonts w:ascii="Calibri" w:eastAsia="Calibri" w:hAnsi="Calibri" w:cs="Calibri"/>
          <w:b/>
          <w:bCs/>
          <w:color w:val="666666"/>
          <w:sz w:val="32"/>
          <w:szCs w:val="32"/>
        </w:rPr>
        <w:t>  </w:t>
      </w:r>
      <w:r>
        <w:rPr>
          <w:rFonts w:ascii="SimHei" w:eastAsia="SimHei" w:hAnsi="SimHei" w:cs="SimHei"/>
          <w:b/>
          <w:bCs/>
          <w:color w:val="666666"/>
          <w:sz w:val="32"/>
          <w:szCs w:val="32"/>
        </w:rPr>
        <w:t>总</w:t>
      </w:r>
      <w:r>
        <w:rPr>
          <w:rFonts w:ascii="Calibri" w:eastAsia="Calibri" w:hAnsi="Calibri" w:cs="Calibri"/>
          <w:b/>
          <w:bCs/>
          <w:color w:val="666666"/>
          <w:sz w:val="32"/>
          <w:szCs w:val="32"/>
        </w:rPr>
        <w:t> </w:t>
      </w:r>
      <w:r>
        <w:rPr>
          <w:rFonts w:ascii="SimHei" w:eastAsia="SimHei" w:hAnsi="SimHei" w:cs="SimHei"/>
          <w:b/>
          <w:bCs/>
          <w:color w:val="666666"/>
          <w:sz w:val="32"/>
          <w:szCs w:val="32"/>
        </w:rPr>
        <w:t>则</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b/>
          <w:bCs/>
          <w:color w:val="666666"/>
          <w:sz w:val="32"/>
          <w:szCs w:val="32"/>
        </w:rPr>
        <w:t>第一条</w:t>
      </w:r>
      <w:r>
        <w:rPr>
          <w:rFonts w:ascii="楷体_GB2312" w:eastAsia="楷体_GB2312" w:hAnsi="楷体_GB2312" w:cs="楷体_GB2312"/>
          <w:b/>
          <w:bCs/>
          <w:color w:val="666666"/>
          <w:sz w:val="32"/>
          <w:szCs w:val="32"/>
        </w:rPr>
        <w:t> </w:t>
      </w:r>
      <w:r>
        <w:rPr>
          <w:rFonts w:ascii="FangSong" w:eastAsia="FangSong" w:hAnsi="FangSong" w:cs="FangSong"/>
          <w:color w:val="666666"/>
          <w:sz w:val="32"/>
          <w:szCs w:val="32"/>
        </w:rPr>
        <w:t>为保证大理大学普通本科招生工作顺利进行，切实维护学校和考生的合法权益，根据《中华人民共和国教育法》、《中华人民共和国高等教育法》等相关法律、教育部有关规定和《大理大学章程》，结合学校普通本科招生工作的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b/>
          <w:bCs/>
          <w:color w:val="666666"/>
          <w:sz w:val="32"/>
          <w:szCs w:val="32"/>
        </w:rPr>
        <w:t>第二条</w:t>
      </w:r>
      <w:r>
        <w:rPr>
          <w:rFonts w:ascii="Calibri" w:eastAsia="Calibri" w:hAnsi="Calibri" w:cs="Calibri"/>
          <w:b/>
          <w:bCs/>
          <w:color w:val="666666"/>
          <w:spacing w:val="15"/>
          <w:sz w:val="32"/>
          <w:szCs w:val="32"/>
        </w:rPr>
        <w:t> </w:t>
      </w:r>
      <w:r>
        <w:rPr>
          <w:rFonts w:ascii="FangSong" w:eastAsia="FangSong" w:hAnsi="FangSong" w:cs="FangSong"/>
          <w:color w:val="666666"/>
          <w:sz w:val="32"/>
          <w:szCs w:val="32"/>
        </w:rPr>
        <w:t>学校全称：大理大学；学校性质：国有公办（云南）省属全日制普通高等学校；办学层次：硕士研究生和本科；主管部门：云南省教育厅。学校注册地址：云南省大理白族自治州大理市大理镇弘圣路</w:t>
      </w:r>
      <w:r>
        <w:rPr>
          <w:rFonts w:ascii="FangSong" w:eastAsia="FangSong" w:hAnsi="FangSong" w:cs="FangSong"/>
          <w:color w:val="666666"/>
          <w:sz w:val="32"/>
          <w:szCs w:val="32"/>
        </w:rPr>
        <w:t>2</w:t>
      </w:r>
      <w:r>
        <w:rPr>
          <w:rFonts w:ascii="FangSong" w:eastAsia="FangSong" w:hAnsi="FangSong" w:cs="FangSong"/>
          <w:color w:val="666666"/>
          <w:sz w:val="32"/>
          <w:szCs w:val="32"/>
        </w:rPr>
        <w:t>号，邮编：</w:t>
      </w:r>
      <w:r>
        <w:rPr>
          <w:rFonts w:ascii="FangSong" w:eastAsia="FangSong" w:hAnsi="FangSong" w:cs="FangSong"/>
          <w:color w:val="666666"/>
          <w:sz w:val="32"/>
          <w:szCs w:val="32"/>
        </w:rPr>
        <w:t>671003，学校国标代码：</w:t>
      </w:r>
      <w:r>
        <w:rPr>
          <w:rFonts w:ascii="FangSong" w:eastAsia="FangSong" w:hAnsi="FangSong" w:cs="FangSong"/>
          <w:color w:val="666666"/>
          <w:sz w:val="32"/>
          <w:szCs w:val="32"/>
        </w:rPr>
        <w:t>10679</w:t>
      </w:r>
      <w:r>
        <w:rPr>
          <w:rFonts w:ascii="FangSong" w:eastAsia="FangSong" w:hAnsi="FangSong" w:cs="FangSong"/>
          <w:color w:val="666666"/>
          <w:sz w:val="32"/>
          <w:szCs w:val="32"/>
        </w:rPr>
        <w:t>。学校设有古城和下关两个校区，本部设在古城校区。</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b/>
          <w:bCs/>
          <w:color w:val="666666"/>
          <w:sz w:val="32"/>
          <w:szCs w:val="32"/>
        </w:rPr>
        <w:t>第三条</w:t>
      </w:r>
      <w:r>
        <w:rPr>
          <w:rFonts w:ascii="Calibri" w:eastAsia="Calibri" w:hAnsi="Calibri" w:cs="Calibri"/>
          <w:b/>
          <w:bCs/>
          <w:color w:val="666666"/>
          <w:spacing w:val="15"/>
          <w:sz w:val="32"/>
          <w:szCs w:val="32"/>
        </w:rPr>
        <w:t> </w:t>
      </w:r>
      <w:r>
        <w:rPr>
          <w:rFonts w:ascii="FangSong" w:eastAsia="FangSong" w:hAnsi="FangSong" w:cs="FangSong"/>
          <w:color w:val="666666"/>
          <w:sz w:val="32"/>
          <w:szCs w:val="32"/>
        </w:rPr>
        <w:t>凡具有大理大学正式学籍的学生，在允许的修业期限内取得规定的学分，符合毕业基本要求，准予毕业，并颁发大理大学本科毕业证书。对符合学位授予条件的毕业生，授予学士学位并颁发学士学位证书。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b/>
          <w:bCs/>
          <w:color w:val="666666"/>
          <w:sz w:val="32"/>
          <w:szCs w:val="32"/>
        </w:rPr>
        <w:t>第四条</w:t>
      </w:r>
      <w:r>
        <w:rPr>
          <w:rFonts w:ascii="Calibri" w:eastAsia="Calibri" w:hAnsi="Calibri" w:cs="Calibri"/>
          <w:b/>
          <w:bCs/>
          <w:color w:val="666666"/>
          <w:spacing w:val="15"/>
          <w:sz w:val="32"/>
          <w:szCs w:val="32"/>
        </w:rPr>
        <w:t> </w:t>
      </w:r>
      <w:r>
        <w:rPr>
          <w:rFonts w:ascii="FangSong" w:eastAsia="FangSong" w:hAnsi="FangSong" w:cs="FangSong"/>
          <w:color w:val="666666"/>
          <w:sz w:val="32"/>
          <w:szCs w:val="32"/>
        </w:rPr>
        <w:t>大理大学招生工作全面贯彻实施高校招生</w:t>
      </w:r>
      <w:r>
        <w:rPr>
          <w:rFonts w:ascii="FangSong" w:eastAsia="FangSong" w:hAnsi="FangSong" w:cs="FangSong"/>
          <w:color w:val="666666"/>
          <w:sz w:val="32"/>
          <w:szCs w:val="32"/>
        </w:rPr>
        <w:t>“阳光工程”，遵循“公平竞争、公正选拔、公开程序，德智体全面考核、综合评价、择优录取”的原则。学校招生工作接受纪检监察部门、考生、家长、媒体以及社会各界的监督。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SimHei" w:eastAsia="SimHei" w:hAnsi="SimHei" w:cs="SimHei"/>
          <w:b/>
          <w:bCs/>
          <w:color w:val="666666"/>
          <w:sz w:val="32"/>
          <w:szCs w:val="32"/>
        </w:rPr>
        <w:t>第二章</w:t>
      </w:r>
      <w:r>
        <w:rPr>
          <w:rFonts w:ascii="Calibri" w:eastAsia="Calibri" w:hAnsi="Calibri" w:cs="Calibri"/>
          <w:b/>
          <w:bCs/>
          <w:color w:val="666666"/>
          <w:sz w:val="32"/>
          <w:szCs w:val="32"/>
        </w:rPr>
        <w:t>  </w:t>
      </w:r>
      <w:r>
        <w:rPr>
          <w:rFonts w:ascii="SimHei" w:eastAsia="SimHei" w:hAnsi="SimHei" w:cs="SimHei"/>
          <w:b/>
          <w:bCs/>
          <w:color w:val="666666"/>
          <w:sz w:val="32"/>
          <w:szCs w:val="32"/>
        </w:rPr>
        <w:t>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b/>
          <w:bCs/>
          <w:color w:val="666666"/>
          <w:sz w:val="32"/>
          <w:szCs w:val="32"/>
        </w:rPr>
        <w:t>第五条</w:t>
      </w:r>
      <w:r>
        <w:rPr>
          <w:rFonts w:ascii="Calibri" w:eastAsia="Calibri" w:hAnsi="Calibri" w:cs="Calibri"/>
          <w:b/>
          <w:bCs/>
          <w:color w:val="666666"/>
          <w:spacing w:val="15"/>
          <w:sz w:val="32"/>
          <w:szCs w:val="32"/>
        </w:rPr>
        <w:t> </w:t>
      </w:r>
      <w:r>
        <w:rPr>
          <w:rFonts w:ascii="FangSong" w:eastAsia="FangSong" w:hAnsi="FangSong" w:cs="FangSong"/>
          <w:color w:val="666666"/>
          <w:spacing w:val="15"/>
          <w:sz w:val="32"/>
          <w:szCs w:val="32"/>
        </w:rPr>
        <w:t>大理大学招生录取工作执行教育部规定的</w:t>
      </w:r>
      <w:r>
        <w:rPr>
          <w:rFonts w:ascii="FangSong" w:eastAsia="FangSong" w:hAnsi="FangSong" w:cs="FangSong"/>
          <w:color w:val="666666"/>
          <w:spacing w:val="15"/>
          <w:sz w:val="32"/>
          <w:szCs w:val="32"/>
        </w:rPr>
        <w:t>“学校负责，招办监督”的录取体制，在教育部领导下，在各省（区、市）招生委员会统一组织下进行。</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b/>
          <w:bCs/>
          <w:color w:val="666666"/>
          <w:sz w:val="32"/>
          <w:szCs w:val="32"/>
        </w:rPr>
        <w:t>第六条</w:t>
      </w:r>
      <w:r>
        <w:rPr>
          <w:rFonts w:ascii="楷体_GB2312" w:eastAsia="楷体_GB2312" w:hAnsi="楷体_GB2312" w:cs="楷体_GB2312"/>
          <w:b/>
          <w:bCs/>
          <w:color w:val="666666"/>
          <w:sz w:val="32"/>
          <w:szCs w:val="32"/>
        </w:rPr>
        <w:t> </w:t>
      </w:r>
      <w:r>
        <w:rPr>
          <w:rFonts w:ascii="FangSong" w:eastAsia="FangSong" w:hAnsi="FangSong" w:cs="FangSong"/>
          <w:color w:val="666666"/>
          <w:spacing w:val="15"/>
          <w:sz w:val="32"/>
          <w:szCs w:val="32"/>
        </w:rPr>
        <w:t>大理大学成立招生委员会，全面领导招生工作。学校招生委员会由党委书记、校长、主管招生工作的校领导、纪委书记以及学校相关部门的负责人组成。</w:t>
      </w:r>
      <w:r>
        <w:rPr>
          <w:rFonts w:ascii="Calibri" w:eastAsia="Calibri" w:hAnsi="Calibri" w:cs="Calibri"/>
          <w:color w:val="666666"/>
          <w:spacing w:val="15"/>
          <w:sz w:val="32"/>
          <w:szCs w:val="32"/>
        </w:rPr>
        <w:t>                               </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b/>
          <w:bCs/>
          <w:color w:val="666666"/>
          <w:sz w:val="32"/>
          <w:szCs w:val="32"/>
        </w:rPr>
        <w:t>第七条</w:t>
      </w:r>
      <w:r>
        <w:rPr>
          <w:rFonts w:ascii="楷体_GB2312" w:eastAsia="楷体_GB2312" w:hAnsi="楷体_GB2312" w:cs="楷体_GB2312"/>
          <w:b/>
          <w:bCs/>
          <w:color w:val="666666"/>
          <w:sz w:val="32"/>
          <w:szCs w:val="32"/>
        </w:rPr>
        <w:t> </w:t>
      </w:r>
      <w:r>
        <w:rPr>
          <w:rFonts w:ascii="FangSong" w:eastAsia="FangSong" w:hAnsi="FangSong" w:cs="FangSong"/>
          <w:color w:val="666666"/>
          <w:spacing w:val="15"/>
          <w:sz w:val="32"/>
          <w:szCs w:val="32"/>
        </w:rPr>
        <w:t>大理大学招生委员会下设本科招生办公室，本科招生办公室挂靠招生就业工作处，具体负责普通本科招生录取工作。</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Calibri" w:eastAsia="Calibri" w:hAnsi="Calibri" w:cs="Calibri"/>
          <w:b/>
          <w:bCs/>
          <w:color w:val="666666"/>
          <w:sz w:val="32"/>
          <w:szCs w:val="32"/>
        </w:rPr>
        <w:t> </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SimHei" w:eastAsia="SimHei" w:hAnsi="SimHei" w:cs="SimHei"/>
          <w:b/>
          <w:bCs/>
          <w:color w:val="666666"/>
          <w:sz w:val="32"/>
          <w:szCs w:val="32"/>
        </w:rPr>
        <w:t>第三章</w:t>
      </w:r>
      <w:r>
        <w:rPr>
          <w:rFonts w:ascii="Calibri" w:eastAsia="Calibri" w:hAnsi="Calibri" w:cs="Calibri"/>
          <w:b/>
          <w:bCs/>
          <w:color w:val="666666"/>
          <w:sz w:val="32"/>
          <w:szCs w:val="32"/>
        </w:rPr>
        <w:t>  </w:t>
      </w:r>
      <w:r>
        <w:rPr>
          <w:rFonts w:ascii="SimHei" w:eastAsia="SimHei" w:hAnsi="SimHei" w:cs="SimHei"/>
          <w:b/>
          <w:bCs/>
          <w:color w:val="666666"/>
          <w:sz w:val="32"/>
          <w:szCs w:val="32"/>
        </w:rPr>
        <w:t>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b/>
          <w:bCs/>
          <w:color w:val="666666"/>
          <w:sz w:val="32"/>
          <w:szCs w:val="32"/>
        </w:rPr>
        <w:t>第八条</w:t>
      </w:r>
      <w:r>
        <w:rPr>
          <w:rFonts w:ascii="Calibri" w:eastAsia="Calibri" w:hAnsi="Calibri" w:cs="Calibri"/>
          <w:color w:val="666666"/>
          <w:spacing w:val="15"/>
          <w:sz w:val="32"/>
          <w:szCs w:val="32"/>
        </w:rPr>
        <w:t> </w:t>
      </w:r>
      <w:r>
        <w:rPr>
          <w:rFonts w:ascii="FangSong" w:eastAsia="FangSong" w:hAnsi="FangSong" w:cs="FangSong"/>
          <w:color w:val="666666"/>
          <w:spacing w:val="15"/>
          <w:sz w:val="32"/>
          <w:szCs w:val="32"/>
        </w:rPr>
        <w:t>大理大学现有</w:t>
      </w:r>
      <w:r>
        <w:rPr>
          <w:rFonts w:ascii="FangSong" w:eastAsia="FangSong" w:hAnsi="FangSong" w:cs="FangSong"/>
          <w:color w:val="666666"/>
          <w:spacing w:val="15"/>
          <w:sz w:val="32"/>
          <w:szCs w:val="32"/>
        </w:rPr>
        <w:t>17个教学学院，68个本科专业，涵盖经济学、法学、教育学、文学、理学、工学、农学、医学、管理学、艺术学等十个学科门类。</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b/>
          <w:bCs/>
          <w:color w:val="666666"/>
          <w:sz w:val="32"/>
          <w:szCs w:val="32"/>
        </w:rPr>
        <w:t>第九条</w:t>
      </w:r>
      <w:r>
        <w:rPr>
          <w:rFonts w:ascii="Calibri" w:eastAsia="Calibri" w:hAnsi="Calibri" w:cs="Calibri"/>
          <w:color w:val="666666"/>
          <w:spacing w:val="15"/>
          <w:sz w:val="32"/>
          <w:szCs w:val="32"/>
        </w:rPr>
        <w:t> </w:t>
      </w:r>
      <w:r>
        <w:rPr>
          <w:rFonts w:ascii="FangSong" w:eastAsia="FangSong" w:hAnsi="FangSong" w:cs="FangSong"/>
          <w:color w:val="666666"/>
          <w:spacing w:val="15"/>
          <w:sz w:val="32"/>
          <w:szCs w:val="32"/>
        </w:rPr>
        <w:t>根据经济社会发展需要和学校办学定位，</w:t>
      </w:r>
      <w:r>
        <w:rPr>
          <w:rFonts w:ascii="FangSong" w:eastAsia="FangSong" w:hAnsi="FangSong" w:cs="FangSong"/>
          <w:color w:val="666666"/>
          <w:sz w:val="32"/>
          <w:szCs w:val="32"/>
        </w:rPr>
        <w:t>坚持规模、结构、质量、效益相统一的原则</w:t>
      </w:r>
      <w:r>
        <w:rPr>
          <w:rFonts w:ascii="FangSong" w:eastAsia="FangSong" w:hAnsi="FangSong" w:cs="FangSong"/>
          <w:color w:val="666666"/>
          <w:spacing w:val="15"/>
          <w:sz w:val="32"/>
          <w:szCs w:val="32"/>
        </w:rPr>
        <w:t>，以上一年度招生计划分配为基础，参考各省区的生源状况、毕业生就业情况等因素，科学合理的编制分省分专业招生计划。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b/>
          <w:bCs/>
          <w:color w:val="666666"/>
          <w:sz w:val="32"/>
          <w:szCs w:val="32"/>
        </w:rPr>
        <w:t>第十条</w:t>
      </w:r>
      <w:r>
        <w:rPr>
          <w:rFonts w:ascii="Calibri" w:eastAsia="Calibri" w:hAnsi="Calibri" w:cs="Calibri"/>
          <w:color w:val="666666"/>
          <w:spacing w:val="15"/>
          <w:sz w:val="32"/>
          <w:szCs w:val="32"/>
        </w:rPr>
        <w:t> </w:t>
      </w:r>
      <w:r>
        <w:rPr>
          <w:rFonts w:ascii="FangSong" w:eastAsia="FangSong" w:hAnsi="FangSong" w:cs="FangSong"/>
          <w:color w:val="666666"/>
          <w:spacing w:val="15"/>
          <w:sz w:val="32"/>
          <w:szCs w:val="32"/>
        </w:rPr>
        <w:t>大理大学在各省招生专业、招生计划、选考科目以及其他要求以生源地省级招生管理部门公布的为准，各专业的详细介绍请通过学校网站查询。</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b/>
          <w:bCs/>
          <w:color w:val="666666"/>
          <w:sz w:val="32"/>
          <w:szCs w:val="32"/>
        </w:rPr>
        <w:t>第十一条</w:t>
      </w:r>
      <w:r>
        <w:rPr>
          <w:rFonts w:ascii="Calibri" w:eastAsia="Calibri" w:hAnsi="Calibri" w:cs="Calibri"/>
          <w:color w:val="666666"/>
          <w:spacing w:val="15"/>
          <w:sz w:val="32"/>
          <w:szCs w:val="32"/>
        </w:rPr>
        <w:t> </w:t>
      </w:r>
      <w:r>
        <w:rPr>
          <w:rFonts w:ascii="FangSong" w:eastAsia="FangSong" w:hAnsi="FangSong" w:cs="FangSong"/>
          <w:color w:val="666666"/>
          <w:spacing w:val="15"/>
          <w:sz w:val="32"/>
          <w:szCs w:val="32"/>
        </w:rPr>
        <w:t>大理大学普通本科面向全国（除西藏地区外）的</w:t>
      </w:r>
      <w:r>
        <w:rPr>
          <w:rFonts w:ascii="FangSong" w:eastAsia="FangSong" w:hAnsi="FangSong" w:cs="FangSong"/>
          <w:color w:val="666666"/>
          <w:spacing w:val="15"/>
          <w:sz w:val="32"/>
          <w:szCs w:val="32"/>
        </w:rPr>
        <w:t>30个省（区、市）招生，2019年起同时面向港澳台地区招生。其中云南省内分为一本、二本批次招生，云南省外均为二本批次招生。</w:t>
      </w:r>
    </w:p>
    <w:p>
      <w:pPr>
        <w:pBdr>
          <w:top w:val="none" w:sz="0" w:space="0" w:color="auto"/>
          <w:left w:val="none" w:sz="0" w:space="0" w:color="auto"/>
          <w:bottom w:val="none" w:sz="0" w:space="0" w:color="auto"/>
          <w:right w:val="none" w:sz="0" w:space="0" w:color="auto"/>
        </w:pBdr>
        <w:spacing w:before="0" w:after="0" w:line="420" w:lineRule="atLeast"/>
        <w:ind w:left="0" w:right="0" w:firstLine="690"/>
        <w:rPr>
          <w:rFonts w:ascii="Microsoft YaHei" w:eastAsia="Microsoft YaHei" w:hAnsi="Microsoft YaHei" w:cs="Microsoft YaHei"/>
          <w:color w:val="666666"/>
          <w:sz w:val="21"/>
          <w:szCs w:val="21"/>
        </w:rPr>
      </w:pPr>
      <w:r>
        <w:rPr>
          <w:rFonts w:ascii="Calibri" w:eastAsia="Calibri" w:hAnsi="Calibri" w:cs="Calibri"/>
          <w:color w:val="666666"/>
          <w:spacing w:val="15"/>
          <w:sz w:val="32"/>
          <w:szCs w:val="32"/>
        </w:rPr>
        <w:t> </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SimHei" w:eastAsia="SimHei" w:hAnsi="SimHei" w:cs="SimHei"/>
          <w:b/>
          <w:bCs/>
          <w:color w:val="666666"/>
          <w:sz w:val="32"/>
          <w:szCs w:val="32"/>
        </w:rPr>
        <w:t>第四章</w:t>
      </w:r>
      <w:r>
        <w:rPr>
          <w:rFonts w:ascii="Calibri" w:eastAsia="Calibri" w:hAnsi="Calibri" w:cs="Calibri"/>
          <w:b/>
          <w:bCs/>
          <w:color w:val="666666"/>
          <w:sz w:val="32"/>
          <w:szCs w:val="32"/>
        </w:rPr>
        <w:t>  </w:t>
      </w:r>
      <w:r>
        <w:rPr>
          <w:rFonts w:ascii="SimHei" w:eastAsia="SimHei" w:hAnsi="SimHei" w:cs="SimHei"/>
          <w:b/>
          <w:bCs/>
          <w:color w:val="666666"/>
          <w:sz w:val="32"/>
          <w:szCs w:val="32"/>
        </w:rPr>
        <w:t>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b/>
          <w:bCs/>
          <w:color w:val="666666"/>
          <w:sz w:val="32"/>
          <w:szCs w:val="32"/>
        </w:rPr>
        <w:t>第十二条</w:t>
      </w:r>
      <w:r>
        <w:rPr>
          <w:rFonts w:ascii="Calibri" w:eastAsia="Calibri" w:hAnsi="Calibri" w:cs="Calibri"/>
          <w:b/>
          <w:bCs/>
          <w:color w:val="666666"/>
          <w:spacing w:val="15"/>
          <w:sz w:val="32"/>
          <w:szCs w:val="32"/>
        </w:rPr>
        <w:t> </w:t>
      </w:r>
      <w:r>
        <w:rPr>
          <w:rFonts w:ascii="FangSong" w:eastAsia="FangSong" w:hAnsi="FangSong" w:cs="FangSong"/>
          <w:color w:val="666666"/>
          <w:sz w:val="32"/>
          <w:szCs w:val="32"/>
        </w:rPr>
        <w:t>执行国家的有关政策和生源地</w:t>
      </w:r>
      <w:r>
        <w:rPr>
          <w:rFonts w:ascii="FangSong" w:eastAsia="FangSong" w:hAnsi="FangSong" w:cs="FangSong"/>
          <w:color w:val="666666"/>
          <w:spacing w:val="15"/>
          <w:sz w:val="32"/>
          <w:szCs w:val="32"/>
        </w:rPr>
        <w:t>省级招生管理部门</w:t>
      </w:r>
      <w:r>
        <w:rPr>
          <w:rFonts w:ascii="FangSong" w:eastAsia="FangSong" w:hAnsi="FangSong" w:cs="FangSong"/>
          <w:color w:val="666666"/>
          <w:sz w:val="32"/>
          <w:szCs w:val="32"/>
        </w:rPr>
        <w:t>相关规定</w:t>
      </w:r>
      <w:r>
        <w:rPr>
          <w:rFonts w:ascii="FangSong" w:eastAsia="FangSong" w:hAnsi="FangSong" w:cs="FangSong"/>
          <w:color w:val="666666"/>
          <w:sz w:val="32"/>
          <w:szCs w:val="32"/>
        </w:rPr>
        <w:t>,包括加分或降分投档等政策，但同一考生如符合多项加分条件，只取其中最高一项分值，且加分不得超过20分。</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b/>
          <w:bCs/>
          <w:color w:val="666666"/>
          <w:sz w:val="32"/>
          <w:szCs w:val="32"/>
        </w:rPr>
        <w:t>第十三条</w:t>
      </w:r>
      <w:r>
        <w:rPr>
          <w:rFonts w:ascii="Calibri" w:eastAsia="Calibri" w:hAnsi="Calibri" w:cs="Calibri"/>
          <w:b/>
          <w:bCs/>
          <w:color w:val="666666"/>
          <w:spacing w:val="15"/>
          <w:sz w:val="32"/>
          <w:szCs w:val="32"/>
        </w:rPr>
        <w:t> </w:t>
      </w:r>
      <w:r>
        <w:rPr>
          <w:rFonts w:ascii="FangSong" w:eastAsia="FangSong" w:hAnsi="FangSong" w:cs="FangSong"/>
          <w:color w:val="666666"/>
          <w:sz w:val="32"/>
          <w:szCs w:val="32"/>
        </w:rPr>
        <w:t>体检标准：按照教育部、卫生部、中国残疾人联合会印发的《普通高等学校招生体检工作指导意见》及有关补充</w:t>
      </w:r>
      <w:r>
        <w:rPr>
          <w:rFonts w:ascii="FangSong" w:eastAsia="FangSong" w:hAnsi="FangSong" w:cs="FangSong"/>
          <w:color w:val="666666"/>
          <w:spacing w:val="15"/>
          <w:sz w:val="32"/>
          <w:szCs w:val="32"/>
        </w:rPr>
        <w:t>规定执行。对肢体残障的考生，若其生活能够自理、符合所报专业要求，且高考成绩达到录取标准，则予正常录取。</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b/>
          <w:bCs/>
          <w:color w:val="666666"/>
          <w:sz w:val="32"/>
          <w:szCs w:val="32"/>
        </w:rPr>
        <w:t>第十四条</w:t>
      </w:r>
      <w:r>
        <w:rPr>
          <w:rFonts w:ascii="Calibri" w:eastAsia="Calibri" w:hAnsi="Calibri" w:cs="Calibri"/>
          <w:color w:val="666666"/>
          <w:sz w:val="32"/>
          <w:szCs w:val="32"/>
        </w:rPr>
        <w:t> </w:t>
      </w:r>
      <w:r>
        <w:rPr>
          <w:rFonts w:ascii="FangSong" w:eastAsia="FangSong" w:hAnsi="FangSong" w:cs="FangSong"/>
          <w:color w:val="666666"/>
          <w:sz w:val="32"/>
          <w:szCs w:val="32"/>
        </w:rPr>
        <w:t>非英语类专业原则上不限外语语种，新生入学后以英语实施外语教学。</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b/>
          <w:bCs/>
          <w:color w:val="666666"/>
          <w:sz w:val="32"/>
          <w:szCs w:val="32"/>
        </w:rPr>
        <w:t>第十五条</w:t>
      </w:r>
      <w:r>
        <w:rPr>
          <w:rFonts w:ascii="Calibri" w:eastAsia="Calibri" w:hAnsi="Calibri" w:cs="Calibri"/>
          <w:b/>
          <w:bCs/>
          <w:color w:val="666666"/>
          <w:spacing w:val="15"/>
          <w:sz w:val="32"/>
          <w:szCs w:val="32"/>
        </w:rPr>
        <w:t> </w:t>
      </w:r>
      <w:r>
        <w:rPr>
          <w:rFonts w:ascii="FangSong" w:eastAsia="FangSong" w:hAnsi="FangSong" w:cs="FangSong"/>
          <w:color w:val="666666"/>
          <w:sz w:val="32"/>
          <w:szCs w:val="32"/>
        </w:rPr>
        <w:t>对报考英语、商务英语、翻译等英语类专业的考生，需参加生源地省级招生管理部门组织的英语口语测试且成绩合格。</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b/>
          <w:bCs/>
          <w:color w:val="666666"/>
          <w:sz w:val="32"/>
          <w:szCs w:val="32"/>
        </w:rPr>
        <w:t>第十六条</w:t>
      </w:r>
      <w:r>
        <w:rPr>
          <w:rFonts w:ascii="Calibri" w:eastAsia="Calibri" w:hAnsi="Calibri" w:cs="Calibri"/>
          <w:color w:val="666666"/>
          <w:spacing w:val="15"/>
          <w:sz w:val="32"/>
          <w:szCs w:val="32"/>
        </w:rPr>
        <w:t> </w:t>
      </w:r>
      <w:r>
        <w:rPr>
          <w:rFonts w:ascii="FangSong" w:eastAsia="FangSong" w:hAnsi="FangSong" w:cs="FangSong"/>
          <w:color w:val="666666"/>
          <w:spacing w:val="15"/>
          <w:sz w:val="32"/>
          <w:szCs w:val="32"/>
        </w:rPr>
        <w:t>大理大学在上海市和浙江省录取时，对专业选考科目的要求如下：</w:t>
      </w:r>
    </w:p>
    <w:p>
      <w:pPr>
        <w:pBdr>
          <w:top w:val="none" w:sz="0" w:space="0" w:color="auto"/>
          <w:left w:val="none" w:sz="0" w:space="0" w:color="auto"/>
          <w:bottom w:val="none" w:sz="0" w:space="0" w:color="auto"/>
          <w:right w:val="none" w:sz="0" w:space="0" w:color="auto"/>
        </w:pBdr>
        <w:spacing w:before="240" w:after="0" w:line="420" w:lineRule="atLeast"/>
        <w:ind w:left="0" w:right="0" w:firstLine="64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tbl>
      <w:tblPr>
        <w:tblW w:w="14325" w:type="dxa"/>
        <w:tblInd w:w="14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2438"/>
        <w:gridCol w:w="4110"/>
        <w:gridCol w:w="2631"/>
        <w:gridCol w:w="5026"/>
      </w:tblGrid>
      <w:tr>
        <w:tblPrEx>
          <w:tblW w:w="14325" w:type="dxa"/>
          <w:tblInd w:w="14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rHeight w:val="675"/>
        </w:trPr>
        <w:tc>
          <w:tcPr>
            <w:tcW w:w="1720" w:type="dxa"/>
            <w:tcBorders>
              <w:top w:val="double" w:sz="8" w:space="0" w:color="000000"/>
              <w:left w:val="double" w:sz="8" w:space="0" w:color="000000"/>
              <w:bottom w:val="double" w:sz="8" w:space="0" w:color="000000"/>
              <w:right w:val="double" w:sz="8"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Hei" w:eastAsia="SimHei" w:hAnsi="SimHei" w:cs="SimHei"/>
                <w:b/>
                <w:bCs/>
                <w:i w:val="0"/>
                <w:iCs w:val="0"/>
                <w:smallCaps w:val="0"/>
                <w:color w:val="666666"/>
                <w:sz w:val="23"/>
                <w:szCs w:val="23"/>
              </w:rPr>
              <w:t>生源省市</w:t>
            </w:r>
          </w:p>
        </w:tc>
        <w:tc>
          <w:tcPr>
            <w:tcW w:w="2850" w:type="dxa"/>
            <w:tcBorders>
              <w:top w:val="double" w:sz="8" w:space="0" w:color="000000"/>
              <w:bottom w:val="double" w:sz="8" w:space="0" w:color="000000"/>
              <w:right w:val="double" w:sz="8"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Hei" w:eastAsia="SimHei" w:hAnsi="SimHei" w:cs="SimHei"/>
                <w:b/>
                <w:bCs/>
                <w:i w:val="0"/>
                <w:iCs w:val="0"/>
                <w:smallCaps w:val="0"/>
                <w:color w:val="666666"/>
                <w:sz w:val="23"/>
                <w:szCs w:val="23"/>
              </w:rPr>
              <w:t>招生专业</w:t>
            </w:r>
          </w:p>
        </w:tc>
        <w:tc>
          <w:tcPr>
            <w:tcW w:w="1905" w:type="dxa"/>
            <w:tcBorders>
              <w:top w:val="double" w:sz="8" w:space="0" w:color="000000"/>
              <w:bottom w:val="double" w:sz="8" w:space="0" w:color="000000"/>
              <w:right w:val="double" w:sz="8"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Hei" w:eastAsia="SimHei" w:hAnsi="SimHei" w:cs="SimHei"/>
                <w:b/>
                <w:bCs/>
                <w:i w:val="0"/>
                <w:iCs w:val="0"/>
                <w:smallCaps w:val="0"/>
                <w:color w:val="666666"/>
                <w:sz w:val="23"/>
                <w:szCs w:val="23"/>
              </w:rPr>
              <w:t>专业代码</w:t>
            </w:r>
          </w:p>
        </w:tc>
        <w:tc>
          <w:tcPr>
            <w:tcW w:w="4080" w:type="dxa"/>
            <w:tcBorders>
              <w:top w:val="double" w:sz="8" w:space="0" w:color="000000"/>
              <w:bottom w:val="double" w:sz="8" w:space="0" w:color="000000"/>
              <w:right w:val="double" w:sz="8"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Hei" w:eastAsia="SimHei" w:hAnsi="SimHei" w:cs="SimHei"/>
                <w:b/>
                <w:bCs/>
                <w:i w:val="0"/>
                <w:iCs w:val="0"/>
                <w:smallCaps w:val="0"/>
                <w:color w:val="666666"/>
                <w:sz w:val="23"/>
                <w:szCs w:val="23"/>
              </w:rPr>
              <w:t>考试科目要求</w:t>
            </w:r>
          </w:p>
        </w:tc>
      </w:tr>
      <w:tr>
        <w:tblPrEx>
          <w:tblW w:w="14325" w:type="dxa"/>
          <w:tblInd w:w="145" w:type="dxa"/>
          <w:tblCellMar>
            <w:top w:w="15" w:type="dxa"/>
            <w:left w:w="15" w:type="dxa"/>
            <w:bottom w:w="15" w:type="dxa"/>
            <w:right w:w="15" w:type="dxa"/>
          </w:tblCellMar>
        </w:tblPrEx>
        <w:trPr>
          <w:trHeight w:val="450"/>
        </w:trPr>
        <w:tc>
          <w:tcPr>
            <w:tcW w:w="1815" w:type="dxa"/>
            <w:vMerge w:val="restart"/>
            <w:tcBorders>
              <w:top w:val="single" w:sz="6" w:space="0" w:color="CCCCCC"/>
              <w:left w:val="double" w:sz="8" w:space="0" w:color="000000"/>
              <w:bottom w:val="double" w:sz="8" w:space="0" w:color="000000"/>
              <w:right w:val="double" w:sz="8"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上海</w:t>
            </w:r>
          </w:p>
        </w:tc>
        <w:tc>
          <w:tcPr>
            <w:tcW w:w="2850"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经济学</w:t>
            </w:r>
          </w:p>
        </w:tc>
        <w:tc>
          <w:tcPr>
            <w:tcW w:w="201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020101</w:t>
            </w:r>
          </w:p>
        </w:tc>
        <w:tc>
          <w:tcPr>
            <w:tcW w:w="4080"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不限</w:t>
            </w:r>
          </w:p>
        </w:tc>
      </w:tr>
      <w:tr>
        <w:tblPrEx>
          <w:tblW w:w="14325" w:type="dxa"/>
          <w:tblInd w:w="145" w:type="dxa"/>
          <w:tblCellMar>
            <w:top w:w="15" w:type="dxa"/>
            <w:left w:w="15" w:type="dxa"/>
            <w:bottom w:w="15" w:type="dxa"/>
            <w:right w:w="15" w:type="dxa"/>
          </w:tblCellMar>
        </w:tblPrEx>
        <w:trPr>
          <w:trHeight w:val="450"/>
        </w:trPr>
        <w:tc>
          <w:tcPr>
            <w:vMerge/>
            <w:tcBorders>
              <w:top w:val="single" w:sz="6" w:space="0" w:color="CCCCCC"/>
              <w:left w:val="double" w:sz="8" w:space="0" w:color="000000"/>
              <w:bottom w:val="double" w:sz="8" w:space="0" w:color="000000"/>
              <w:right w:val="double" w:sz="8" w:space="0" w:color="000000"/>
            </w:tcBorders>
            <w:vAlign w:val="center"/>
            <w:hideMark/>
          </w:tcPr>
          <w:p>
            <w:pPr>
              <w:rPr>
                <w:rFonts w:ascii="SimSun" w:eastAsia="SimSun" w:hAnsi="SimSun" w:cs="SimSun"/>
                <w:b w:val="0"/>
                <w:bCs w:val="0"/>
                <w:i w:val="0"/>
                <w:iCs w:val="0"/>
                <w:smallCaps w:val="0"/>
                <w:color w:val="666666"/>
                <w:sz w:val="21"/>
                <w:szCs w:val="21"/>
              </w:rPr>
            </w:pPr>
          </w:p>
        </w:tc>
        <w:tc>
          <w:tcPr>
            <w:tcW w:w="3290"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财务管理</w:t>
            </w:r>
          </w:p>
        </w:tc>
        <w:tc>
          <w:tcPr>
            <w:tcW w:w="160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120204</w:t>
            </w:r>
          </w:p>
        </w:tc>
        <w:tc>
          <w:tcPr>
            <w:tcW w:w="351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不限</w:t>
            </w:r>
          </w:p>
        </w:tc>
      </w:tr>
      <w:tr>
        <w:tblPrEx>
          <w:tblW w:w="14325" w:type="dxa"/>
          <w:tblInd w:w="145" w:type="dxa"/>
          <w:tblCellMar>
            <w:top w:w="15" w:type="dxa"/>
            <w:left w:w="15" w:type="dxa"/>
            <w:bottom w:w="15" w:type="dxa"/>
            <w:right w:w="15" w:type="dxa"/>
          </w:tblCellMar>
        </w:tblPrEx>
        <w:trPr>
          <w:trHeight w:val="450"/>
        </w:trPr>
        <w:tc>
          <w:tcPr>
            <w:vMerge/>
            <w:tcBorders>
              <w:top w:val="single" w:sz="6" w:space="0" w:color="CCCCCC"/>
              <w:left w:val="double" w:sz="8" w:space="0" w:color="000000"/>
              <w:bottom w:val="double" w:sz="8" w:space="0" w:color="000000"/>
              <w:right w:val="double" w:sz="8" w:space="0" w:color="000000"/>
            </w:tcBorders>
            <w:vAlign w:val="center"/>
            <w:hideMark/>
          </w:tcPr>
          <w:p>
            <w:pPr>
              <w:rPr>
                <w:rFonts w:ascii="SimSun" w:eastAsia="SimSun" w:hAnsi="SimSun" w:cs="SimSun"/>
                <w:b w:val="0"/>
                <w:bCs w:val="0"/>
                <w:i w:val="0"/>
                <w:iCs w:val="0"/>
                <w:smallCaps w:val="0"/>
                <w:color w:val="666666"/>
                <w:sz w:val="21"/>
                <w:szCs w:val="21"/>
              </w:rPr>
            </w:pPr>
          </w:p>
        </w:tc>
        <w:tc>
          <w:tcPr>
            <w:tcW w:w="3290"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医学影像学</w:t>
            </w:r>
          </w:p>
        </w:tc>
        <w:tc>
          <w:tcPr>
            <w:tcW w:w="160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100203</w:t>
            </w:r>
          </w:p>
        </w:tc>
        <w:tc>
          <w:tcPr>
            <w:tcW w:w="351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生物、化学、物理</w:t>
            </w:r>
          </w:p>
        </w:tc>
      </w:tr>
      <w:tr>
        <w:tblPrEx>
          <w:tblW w:w="14325" w:type="dxa"/>
          <w:tblInd w:w="145" w:type="dxa"/>
          <w:tblCellMar>
            <w:top w:w="15" w:type="dxa"/>
            <w:left w:w="15" w:type="dxa"/>
            <w:bottom w:w="15" w:type="dxa"/>
            <w:right w:w="15" w:type="dxa"/>
          </w:tblCellMar>
        </w:tblPrEx>
        <w:trPr>
          <w:trHeight w:val="450"/>
        </w:trPr>
        <w:tc>
          <w:tcPr>
            <w:vMerge/>
            <w:tcBorders>
              <w:top w:val="single" w:sz="6" w:space="0" w:color="CCCCCC"/>
              <w:left w:val="double" w:sz="8" w:space="0" w:color="000000"/>
              <w:bottom w:val="double" w:sz="8" w:space="0" w:color="000000"/>
              <w:right w:val="double" w:sz="8" w:space="0" w:color="000000"/>
            </w:tcBorders>
            <w:vAlign w:val="center"/>
            <w:hideMark/>
          </w:tcPr>
          <w:p>
            <w:pPr>
              <w:rPr>
                <w:rFonts w:ascii="SimSun" w:eastAsia="SimSun" w:hAnsi="SimSun" w:cs="SimSun"/>
                <w:b w:val="0"/>
                <w:bCs w:val="0"/>
                <w:i w:val="0"/>
                <w:iCs w:val="0"/>
                <w:smallCaps w:val="0"/>
                <w:color w:val="666666"/>
                <w:sz w:val="21"/>
                <w:szCs w:val="21"/>
              </w:rPr>
            </w:pPr>
          </w:p>
        </w:tc>
        <w:tc>
          <w:tcPr>
            <w:tcW w:w="3290"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口腔医学</w:t>
            </w:r>
          </w:p>
        </w:tc>
        <w:tc>
          <w:tcPr>
            <w:tcW w:w="160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100301</w:t>
            </w:r>
          </w:p>
        </w:tc>
        <w:tc>
          <w:tcPr>
            <w:tcW w:w="351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生物、化学、物理</w:t>
            </w:r>
          </w:p>
        </w:tc>
      </w:tr>
      <w:tr>
        <w:tblPrEx>
          <w:tblW w:w="14325" w:type="dxa"/>
          <w:tblInd w:w="145" w:type="dxa"/>
          <w:tblCellMar>
            <w:top w:w="15" w:type="dxa"/>
            <w:left w:w="15" w:type="dxa"/>
            <w:bottom w:w="15" w:type="dxa"/>
            <w:right w:w="15" w:type="dxa"/>
          </w:tblCellMar>
        </w:tblPrEx>
        <w:trPr>
          <w:trHeight w:val="450"/>
        </w:trPr>
        <w:tc>
          <w:tcPr>
            <w:vMerge/>
            <w:tcBorders>
              <w:top w:val="single" w:sz="6" w:space="0" w:color="CCCCCC"/>
              <w:left w:val="double" w:sz="8" w:space="0" w:color="000000"/>
              <w:bottom w:val="double" w:sz="8" w:space="0" w:color="000000"/>
              <w:right w:val="double" w:sz="8" w:space="0" w:color="000000"/>
            </w:tcBorders>
            <w:vAlign w:val="center"/>
            <w:hideMark/>
          </w:tcPr>
          <w:p>
            <w:pPr>
              <w:rPr>
                <w:rFonts w:ascii="SimSun" w:eastAsia="SimSun" w:hAnsi="SimSun" w:cs="SimSun"/>
                <w:b w:val="0"/>
                <w:bCs w:val="0"/>
                <w:i w:val="0"/>
                <w:iCs w:val="0"/>
                <w:smallCaps w:val="0"/>
                <w:color w:val="666666"/>
                <w:sz w:val="21"/>
                <w:szCs w:val="21"/>
              </w:rPr>
            </w:pPr>
          </w:p>
        </w:tc>
        <w:tc>
          <w:tcPr>
            <w:tcW w:w="3290"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临床医学</w:t>
            </w:r>
          </w:p>
        </w:tc>
        <w:tc>
          <w:tcPr>
            <w:tcW w:w="160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100201</w:t>
            </w:r>
          </w:p>
        </w:tc>
        <w:tc>
          <w:tcPr>
            <w:tcW w:w="351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生物、化学、物理</w:t>
            </w:r>
          </w:p>
        </w:tc>
      </w:tr>
      <w:tr>
        <w:tblPrEx>
          <w:tblW w:w="14325" w:type="dxa"/>
          <w:tblInd w:w="145" w:type="dxa"/>
          <w:tblCellMar>
            <w:top w:w="15" w:type="dxa"/>
            <w:left w:w="15" w:type="dxa"/>
            <w:bottom w:w="15" w:type="dxa"/>
            <w:right w:w="15" w:type="dxa"/>
          </w:tblCellMar>
        </w:tblPrEx>
        <w:trPr>
          <w:trHeight w:val="450"/>
        </w:trPr>
        <w:tc>
          <w:tcPr>
            <w:tcW w:w="1815" w:type="dxa"/>
            <w:vMerge w:val="restart"/>
            <w:tcBorders>
              <w:top w:val="single" w:sz="6" w:space="0" w:color="CCCCCC"/>
              <w:left w:val="double" w:sz="8" w:space="0" w:color="000000"/>
              <w:bottom w:val="double" w:sz="8" w:space="0" w:color="000000"/>
              <w:right w:val="double" w:sz="8"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浙江</w:t>
            </w:r>
          </w:p>
        </w:tc>
        <w:tc>
          <w:tcPr>
            <w:tcW w:w="2850"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医学检验技术</w:t>
            </w:r>
          </w:p>
        </w:tc>
        <w:tc>
          <w:tcPr>
            <w:tcW w:w="201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101001</w:t>
            </w:r>
          </w:p>
        </w:tc>
        <w:tc>
          <w:tcPr>
            <w:tcW w:w="4080"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化学、生物、物理</w:t>
            </w:r>
          </w:p>
        </w:tc>
      </w:tr>
      <w:tr>
        <w:tblPrEx>
          <w:tblW w:w="14325" w:type="dxa"/>
          <w:tblInd w:w="145" w:type="dxa"/>
          <w:tblCellMar>
            <w:top w:w="15" w:type="dxa"/>
            <w:left w:w="15" w:type="dxa"/>
            <w:bottom w:w="15" w:type="dxa"/>
            <w:right w:w="15" w:type="dxa"/>
          </w:tblCellMar>
        </w:tblPrEx>
        <w:trPr>
          <w:trHeight w:val="435"/>
        </w:trPr>
        <w:tc>
          <w:tcPr>
            <w:vMerge/>
            <w:tcBorders>
              <w:top w:val="single" w:sz="6" w:space="0" w:color="CCCCCC"/>
              <w:left w:val="double" w:sz="8" w:space="0" w:color="000000"/>
              <w:bottom w:val="double" w:sz="8" w:space="0" w:color="000000"/>
              <w:right w:val="double" w:sz="8" w:space="0" w:color="000000"/>
            </w:tcBorders>
            <w:vAlign w:val="center"/>
            <w:hideMark/>
          </w:tcPr>
          <w:p>
            <w:pPr>
              <w:rPr>
                <w:rFonts w:ascii="SimSun" w:eastAsia="SimSun" w:hAnsi="SimSun" w:cs="SimSun"/>
                <w:b w:val="0"/>
                <w:bCs w:val="0"/>
                <w:i w:val="0"/>
                <w:iCs w:val="0"/>
                <w:smallCaps w:val="0"/>
                <w:color w:val="666666"/>
                <w:sz w:val="21"/>
                <w:szCs w:val="21"/>
              </w:rPr>
            </w:pPr>
          </w:p>
        </w:tc>
        <w:tc>
          <w:tcPr>
            <w:tcW w:w="3290"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环境科学</w:t>
            </w:r>
          </w:p>
        </w:tc>
        <w:tc>
          <w:tcPr>
            <w:tcW w:w="160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082503</w:t>
            </w:r>
          </w:p>
        </w:tc>
        <w:tc>
          <w:tcPr>
            <w:tcW w:w="351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化学、物理、生物</w:t>
            </w:r>
          </w:p>
        </w:tc>
      </w:tr>
      <w:tr>
        <w:tblPrEx>
          <w:tblW w:w="14325" w:type="dxa"/>
          <w:tblInd w:w="145" w:type="dxa"/>
          <w:tblCellMar>
            <w:top w:w="15" w:type="dxa"/>
            <w:left w:w="15" w:type="dxa"/>
            <w:bottom w:w="15" w:type="dxa"/>
            <w:right w:w="15" w:type="dxa"/>
          </w:tblCellMar>
        </w:tblPrEx>
        <w:trPr>
          <w:trHeight w:val="450"/>
        </w:trPr>
        <w:tc>
          <w:tcPr>
            <w:vMerge/>
            <w:tcBorders>
              <w:top w:val="single" w:sz="6" w:space="0" w:color="CCCCCC"/>
              <w:left w:val="double" w:sz="8" w:space="0" w:color="000000"/>
              <w:bottom w:val="double" w:sz="8" w:space="0" w:color="000000"/>
              <w:right w:val="double" w:sz="8" w:space="0" w:color="000000"/>
            </w:tcBorders>
            <w:vAlign w:val="center"/>
            <w:hideMark/>
          </w:tcPr>
          <w:p>
            <w:pPr>
              <w:rPr>
                <w:rFonts w:ascii="SimSun" w:eastAsia="SimSun" w:hAnsi="SimSun" w:cs="SimSun"/>
                <w:b w:val="0"/>
                <w:bCs w:val="0"/>
                <w:i w:val="0"/>
                <w:iCs w:val="0"/>
                <w:smallCaps w:val="0"/>
                <w:color w:val="666666"/>
                <w:sz w:val="21"/>
                <w:szCs w:val="21"/>
              </w:rPr>
            </w:pPr>
          </w:p>
        </w:tc>
        <w:tc>
          <w:tcPr>
            <w:tcW w:w="3290"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新闻学</w:t>
            </w:r>
          </w:p>
        </w:tc>
        <w:tc>
          <w:tcPr>
            <w:tcW w:w="160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050301</w:t>
            </w:r>
          </w:p>
        </w:tc>
        <w:tc>
          <w:tcPr>
            <w:tcW w:w="351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历史、地理、思想政治</w:t>
            </w:r>
          </w:p>
        </w:tc>
      </w:tr>
      <w:tr>
        <w:tblPrEx>
          <w:tblW w:w="14325" w:type="dxa"/>
          <w:tblInd w:w="145" w:type="dxa"/>
          <w:tblCellMar>
            <w:top w:w="15" w:type="dxa"/>
            <w:left w:w="15" w:type="dxa"/>
            <w:bottom w:w="15" w:type="dxa"/>
            <w:right w:w="15" w:type="dxa"/>
          </w:tblCellMar>
        </w:tblPrEx>
        <w:trPr>
          <w:trHeight w:val="450"/>
        </w:trPr>
        <w:tc>
          <w:tcPr>
            <w:vMerge/>
            <w:tcBorders>
              <w:top w:val="single" w:sz="6" w:space="0" w:color="CCCCCC"/>
              <w:left w:val="double" w:sz="8" w:space="0" w:color="000000"/>
              <w:bottom w:val="double" w:sz="8" w:space="0" w:color="000000"/>
              <w:right w:val="double" w:sz="8" w:space="0" w:color="000000"/>
            </w:tcBorders>
            <w:vAlign w:val="center"/>
            <w:hideMark/>
          </w:tcPr>
          <w:p>
            <w:pPr>
              <w:rPr>
                <w:rFonts w:ascii="SimSun" w:eastAsia="SimSun" w:hAnsi="SimSun" w:cs="SimSun"/>
                <w:b w:val="0"/>
                <w:bCs w:val="0"/>
                <w:i w:val="0"/>
                <w:iCs w:val="0"/>
                <w:smallCaps w:val="0"/>
                <w:color w:val="666666"/>
                <w:sz w:val="21"/>
                <w:szCs w:val="21"/>
              </w:rPr>
            </w:pPr>
          </w:p>
        </w:tc>
        <w:tc>
          <w:tcPr>
            <w:tcW w:w="3290"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英语</w:t>
            </w:r>
          </w:p>
        </w:tc>
        <w:tc>
          <w:tcPr>
            <w:tcW w:w="160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050201</w:t>
            </w:r>
          </w:p>
        </w:tc>
        <w:tc>
          <w:tcPr>
            <w:tcW w:w="351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历史、地理、思想政治</w:t>
            </w:r>
          </w:p>
        </w:tc>
      </w:tr>
      <w:tr>
        <w:tblPrEx>
          <w:tblW w:w="14325" w:type="dxa"/>
          <w:tblInd w:w="145" w:type="dxa"/>
          <w:tblCellMar>
            <w:top w:w="15" w:type="dxa"/>
            <w:left w:w="15" w:type="dxa"/>
            <w:bottom w:w="15" w:type="dxa"/>
            <w:right w:w="15" w:type="dxa"/>
          </w:tblCellMar>
        </w:tblPrEx>
        <w:trPr>
          <w:trHeight w:val="450"/>
        </w:trPr>
        <w:tc>
          <w:tcPr>
            <w:vMerge/>
            <w:tcBorders>
              <w:top w:val="single" w:sz="6" w:space="0" w:color="CCCCCC"/>
              <w:left w:val="double" w:sz="8" w:space="0" w:color="000000"/>
              <w:bottom w:val="double" w:sz="8" w:space="0" w:color="000000"/>
              <w:right w:val="double" w:sz="8" w:space="0" w:color="000000"/>
            </w:tcBorders>
            <w:vAlign w:val="center"/>
            <w:hideMark/>
          </w:tcPr>
          <w:p>
            <w:pPr>
              <w:rPr>
                <w:rFonts w:ascii="SimSun" w:eastAsia="SimSun" w:hAnsi="SimSun" w:cs="SimSun"/>
                <w:b w:val="0"/>
                <w:bCs w:val="0"/>
                <w:i w:val="0"/>
                <w:iCs w:val="0"/>
                <w:smallCaps w:val="0"/>
                <w:color w:val="666666"/>
                <w:sz w:val="21"/>
                <w:szCs w:val="21"/>
              </w:rPr>
            </w:pPr>
          </w:p>
        </w:tc>
        <w:tc>
          <w:tcPr>
            <w:tcW w:w="3290"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汉语国际教育</w:t>
            </w:r>
          </w:p>
        </w:tc>
        <w:tc>
          <w:tcPr>
            <w:tcW w:w="160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050103</w:t>
            </w:r>
          </w:p>
        </w:tc>
        <w:tc>
          <w:tcPr>
            <w:tcW w:w="351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历史、地理、思想政治</w:t>
            </w:r>
          </w:p>
        </w:tc>
      </w:tr>
      <w:tr>
        <w:tblPrEx>
          <w:tblW w:w="14325" w:type="dxa"/>
          <w:tblInd w:w="145" w:type="dxa"/>
          <w:tblCellMar>
            <w:top w:w="15" w:type="dxa"/>
            <w:left w:w="15" w:type="dxa"/>
            <w:bottom w:w="15" w:type="dxa"/>
            <w:right w:w="15" w:type="dxa"/>
          </w:tblCellMar>
        </w:tblPrEx>
        <w:trPr>
          <w:trHeight w:val="450"/>
        </w:trPr>
        <w:tc>
          <w:tcPr>
            <w:vMerge/>
            <w:tcBorders>
              <w:top w:val="single" w:sz="6" w:space="0" w:color="CCCCCC"/>
              <w:left w:val="double" w:sz="8" w:space="0" w:color="000000"/>
              <w:bottom w:val="double" w:sz="8" w:space="0" w:color="000000"/>
              <w:right w:val="double" w:sz="8" w:space="0" w:color="000000"/>
            </w:tcBorders>
            <w:vAlign w:val="center"/>
            <w:hideMark/>
          </w:tcPr>
          <w:p>
            <w:pPr>
              <w:rPr>
                <w:rFonts w:ascii="SimSun" w:eastAsia="SimSun" w:hAnsi="SimSun" w:cs="SimSun"/>
                <w:b w:val="0"/>
                <w:bCs w:val="0"/>
                <w:i w:val="0"/>
                <w:iCs w:val="0"/>
                <w:smallCaps w:val="0"/>
                <w:color w:val="666666"/>
                <w:sz w:val="21"/>
                <w:szCs w:val="21"/>
              </w:rPr>
            </w:pPr>
          </w:p>
        </w:tc>
        <w:tc>
          <w:tcPr>
            <w:tcW w:w="3290"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园林</w:t>
            </w:r>
          </w:p>
        </w:tc>
        <w:tc>
          <w:tcPr>
            <w:tcW w:w="160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090502</w:t>
            </w:r>
          </w:p>
        </w:tc>
        <w:tc>
          <w:tcPr>
            <w:tcW w:w="351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生物、化学、地理</w:t>
            </w:r>
          </w:p>
        </w:tc>
      </w:tr>
      <w:tr>
        <w:tblPrEx>
          <w:tblW w:w="14325" w:type="dxa"/>
          <w:tblInd w:w="145" w:type="dxa"/>
          <w:tblCellMar>
            <w:top w:w="15" w:type="dxa"/>
            <w:left w:w="15" w:type="dxa"/>
            <w:bottom w:w="15" w:type="dxa"/>
            <w:right w:w="15" w:type="dxa"/>
          </w:tblCellMar>
        </w:tblPrEx>
        <w:trPr>
          <w:trHeight w:val="450"/>
        </w:trPr>
        <w:tc>
          <w:tcPr>
            <w:vMerge/>
            <w:tcBorders>
              <w:top w:val="single" w:sz="6" w:space="0" w:color="CCCCCC"/>
              <w:left w:val="double" w:sz="8" w:space="0" w:color="000000"/>
              <w:bottom w:val="double" w:sz="8" w:space="0" w:color="000000"/>
              <w:right w:val="double" w:sz="8" w:space="0" w:color="000000"/>
            </w:tcBorders>
            <w:vAlign w:val="center"/>
            <w:hideMark/>
          </w:tcPr>
          <w:p>
            <w:pPr>
              <w:rPr>
                <w:rFonts w:ascii="SimSun" w:eastAsia="SimSun" w:hAnsi="SimSun" w:cs="SimSun"/>
                <w:b w:val="0"/>
                <w:bCs w:val="0"/>
                <w:i w:val="0"/>
                <w:iCs w:val="0"/>
                <w:smallCaps w:val="0"/>
                <w:color w:val="666666"/>
                <w:sz w:val="21"/>
                <w:szCs w:val="21"/>
              </w:rPr>
            </w:pPr>
          </w:p>
        </w:tc>
        <w:tc>
          <w:tcPr>
            <w:tcW w:w="3290"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临床药学</w:t>
            </w:r>
          </w:p>
        </w:tc>
        <w:tc>
          <w:tcPr>
            <w:tcW w:w="160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100701</w:t>
            </w:r>
          </w:p>
        </w:tc>
        <w:tc>
          <w:tcPr>
            <w:tcW w:w="351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生物、化学、物理</w:t>
            </w:r>
          </w:p>
        </w:tc>
      </w:tr>
      <w:tr>
        <w:tblPrEx>
          <w:tblW w:w="14325" w:type="dxa"/>
          <w:tblInd w:w="145" w:type="dxa"/>
          <w:tblCellMar>
            <w:top w:w="15" w:type="dxa"/>
            <w:left w:w="15" w:type="dxa"/>
            <w:bottom w:w="15" w:type="dxa"/>
            <w:right w:w="15" w:type="dxa"/>
          </w:tblCellMar>
        </w:tblPrEx>
        <w:trPr>
          <w:trHeight w:val="450"/>
        </w:trPr>
        <w:tc>
          <w:tcPr>
            <w:vMerge/>
            <w:tcBorders>
              <w:top w:val="single" w:sz="6" w:space="0" w:color="CCCCCC"/>
              <w:left w:val="double" w:sz="8" w:space="0" w:color="000000"/>
              <w:bottom w:val="double" w:sz="8" w:space="0" w:color="000000"/>
              <w:right w:val="double" w:sz="8" w:space="0" w:color="000000"/>
            </w:tcBorders>
            <w:vAlign w:val="center"/>
            <w:hideMark/>
          </w:tcPr>
          <w:p>
            <w:pPr>
              <w:rPr>
                <w:rFonts w:ascii="SimSun" w:eastAsia="SimSun" w:hAnsi="SimSun" w:cs="SimSun"/>
                <w:b w:val="0"/>
                <w:bCs w:val="0"/>
                <w:i w:val="0"/>
                <w:iCs w:val="0"/>
                <w:smallCaps w:val="0"/>
                <w:color w:val="666666"/>
                <w:sz w:val="21"/>
                <w:szCs w:val="21"/>
              </w:rPr>
            </w:pPr>
          </w:p>
        </w:tc>
        <w:tc>
          <w:tcPr>
            <w:tcW w:w="3290"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临床医学</w:t>
            </w:r>
          </w:p>
        </w:tc>
        <w:tc>
          <w:tcPr>
            <w:tcW w:w="160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100201</w:t>
            </w:r>
          </w:p>
        </w:tc>
        <w:tc>
          <w:tcPr>
            <w:tcW w:w="351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生物、化学、物理</w:t>
            </w:r>
          </w:p>
        </w:tc>
      </w:tr>
      <w:tr>
        <w:tblPrEx>
          <w:tblW w:w="14325" w:type="dxa"/>
          <w:tblInd w:w="145" w:type="dxa"/>
          <w:tblCellMar>
            <w:top w:w="15" w:type="dxa"/>
            <w:left w:w="15" w:type="dxa"/>
            <w:bottom w:w="15" w:type="dxa"/>
            <w:right w:w="15" w:type="dxa"/>
          </w:tblCellMar>
        </w:tblPrEx>
        <w:trPr>
          <w:trHeight w:val="450"/>
        </w:trPr>
        <w:tc>
          <w:tcPr>
            <w:vMerge/>
            <w:tcBorders>
              <w:top w:val="single" w:sz="6" w:space="0" w:color="CCCCCC"/>
              <w:left w:val="double" w:sz="8" w:space="0" w:color="000000"/>
              <w:bottom w:val="double" w:sz="8" w:space="0" w:color="000000"/>
              <w:right w:val="double" w:sz="8" w:space="0" w:color="000000"/>
            </w:tcBorders>
            <w:vAlign w:val="center"/>
            <w:hideMark/>
          </w:tcPr>
          <w:p>
            <w:pPr>
              <w:rPr>
                <w:rFonts w:ascii="SimSun" w:eastAsia="SimSun" w:hAnsi="SimSun" w:cs="SimSun"/>
                <w:b w:val="0"/>
                <w:bCs w:val="0"/>
                <w:i w:val="0"/>
                <w:iCs w:val="0"/>
                <w:smallCaps w:val="0"/>
                <w:color w:val="666666"/>
                <w:sz w:val="21"/>
                <w:szCs w:val="21"/>
              </w:rPr>
            </w:pPr>
          </w:p>
        </w:tc>
        <w:tc>
          <w:tcPr>
            <w:tcW w:w="3290"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医学影像学</w:t>
            </w:r>
          </w:p>
        </w:tc>
        <w:tc>
          <w:tcPr>
            <w:tcW w:w="160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100203</w:t>
            </w:r>
          </w:p>
        </w:tc>
        <w:tc>
          <w:tcPr>
            <w:tcW w:w="351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生物、物理、化学</w:t>
            </w:r>
          </w:p>
        </w:tc>
      </w:tr>
      <w:tr>
        <w:tblPrEx>
          <w:tblW w:w="14325" w:type="dxa"/>
          <w:tblInd w:w="145" w:type="dxa"/>
          <w:tblCellMar>
            <w:top w:w="15" w:type="dxa"/>
            <w:left w:w="15" w:type="dxa"/>
            <w:bottom w:w="15" w:type="dxa"/>
            <w:right w:w="15" w:type="dxa"/>
          </w:tblCellMar>
        </w:tblPrEx>
        <w:trPr>
          <w:trHeight w:val="450"/>
        </w:trPr>
        <w:tc>
          <w:tcPr>
            <w:vMerge/>
            <w:tcBorders>
              <w:top w:val="single" w:sz="6" w:space="0" w:color="CCCCCC"/>
              <w:left w:val="double" w:sz="8" w:space="0" w:color="000000"/>
              <w:bottom w:val="double" w:sz="8" w:space="0" w:color="000000"/>
              <w:right w:val="double" w:sz="8" w:space="0" w:color="000000"/>
            </w:tcBorders>
            <w:vAlign w:val="center"/>
            <w:hideMark/>
          </w:tcPr>
          <w:p>
            <w:pPr>
              <w:rPr>
                <w:rFonts w:ascii="SimSun" w:eastAsia="SimSun" w:hAnsi="SimSun" w:cs="SimSun"/>
                <w:b w:val="0"/>
                <w:bCs w:val="0"/>
                <w:i w:val="0"/>
                <w:iCs w:val="0"/>
                <w:smallCaps w:val="0"/>
                <w:color w:val="666666"/>
                <w:sz w:val="21"/>
                <w:szCs w:val="21"/>
              </w:rPr>
            </w:pPr>
          </w:p>
        </w:tc>
        <w:tc>
          <w:tcPr>
            <w:tcW w:w="3290"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财务管理</w:t>
            </w:r>
          </w:p>
        </w:tc>
        <w:tc>
          <w:tcPr>
            <w:tcW w:w="160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120204</w:t>
            </w:r>
          </w:p>
        </w:tc>
        <w:tc>
          <w:tcPr>
            <w:tcW w:w="351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思想政治、历史、地理</w:t>
            </w:r>
          </w:p>
        </w:tc>
      </w:tr>
      <w:tr>
        <w:tblPrEx>
          <w:tblW w:w="14325" w:type="dxa"/>
          <w:tblInd w:w="145" w:type="dxa"/>
          <w:tblCellMar>
            <w:top w:w="15" w:type="dxa"/>
            <w:left w:w="15" w:type="dxa"/>
            <w:bottom w:w="15" w:type="dxa"/>
            <w:right w:w="15" w:type="dxa"/>
          </w:tblCellMar>
        </w:tblPrEx>
        <w:trPr>
          <w:trHeight w:val="450"/>
        </w:trPr>
        <w:tc>
          <w:tcPr>
            <w:vMerge/>
            <w:tcBorders>
              <w:top w:val="single" w:sz="6" w:space="0" w:color="CCCCCC"/>
              <w:left w:val="double" w:sz="8" w:space="0" w:color="000000"/>
              <w:bottom w:val="double" w:sz="8" w:space="0" w:color="000000"/>
              <w:right w:val="double" w:sz="8" w:space="0" w:color="000000"/>
            </w:tcBorders>
            <w:vAlign w:val="center"/>
            <w:hideMark/>
          </w:tcPr>
          <w:p>
            <w:pPr>
              <w:rPr>
                <w:rFonts w:ascii="SimSun" w:eastAsia="SimSun" w:hAnsi="SimSun" w:cs="SimSun"/>
                <w:b w:val="0"/>
                <w:bCs w:val="0"/>
                <w:i w:val="0"/>
                <w:iCs w:val="0"/>
                <w:smallCaps w:val="0"/>
                <w:color w:val="666666"/>
                <w:sz w:val="21"/>
                <w:szCs w:val="21"/>
              </w:rPr>
            </w:pPr>
          </w:p>
        </w:tc>
        <w:tc>
          <w:tcPr>
            <w:tcW w:w="3290"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法学</w:t>
            </w:r>
          </w:p>
        </w:tc>
        <w:tc>
          <w:tcPr>
            <w:tcW w:w="160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030101</w:t>
            </w:r>
          </w:p>
        </w:tc>
        <w:tc>
          <w:tcPr>
            <w:tcW w:w="351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思想政治、历史、地理</w:t>
            </w:r>
          </w:p>
        </w:tc>
      </w:tr>
      <w:tr>
        <w:tblPrEx>
          <w:tblW w:w="14325" w:type="dxa"/>
          <w:tblInd w:w="145" w:type="dxa"/>
          <w:tblCellMar>
            <w:top w:w="15" w:type="dxa"/>
            <w:left w:w="15" w:type="dxa"/>
            <w:bottom w:w="15" w:type="dxa"/>
            <w:right w:w="15" w:type="dxa"/>
          </w:tblCellMar>
        </w:tblPrEx>
        <w:trPr>
          <w:trHeight w:val="450"/>
        </w:trPr>
        <w:tc>
          <w:tcPr>
            <w:vMerge/>
            <w:tcBorders>
              <w:top w:val="single" w:sz="6" w:space="0" w:color="CCCCCC"/>
              <w:left w:val="double" w:sz="8" w:space="0" w:color="000000"/>
              <w:bottom w:val="double" w:sz="8" w:space="0" w:color="000000"/>
              <w:right w:val="double" w:sz="8" w:space="0" w:color="000000"/>
            </w:tcBorders>
            <w:vAlign w:val="center"/>
            <w:hideMark/>
          </w:tcPr>
          <w:p>
            <w:pPr>
              <w:rPr>
                <w:rFonts w:ascii="SimSun" w:eastAsia="SimSun" w:hAnsi="SimSun" w:cs="SimSun"/>
                <w:b w:val="0"/>
                <w:bCs w:val="0"/>
                <w:i w:val="0"/>
                <w:iCs w:val="0"/>
                <w:smallCaps w:val="0"/>
                <w:color w:val="666666"/>
                <w:sz w:val="21"/>
                <w:szCs w:val="21"/>
              </w:rPr>
            </w:pPr>
          </w:p>
        </w:tc>
        <w:tc>
          <w:tcPr>
            <w:tcW w:w="3290"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应用心理学</w:t>
            </w:r>
          </w:p>
        </w:tc>
        <w:tc>
          <w:tcPr>
            <w:tcW w:w="160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071102</w:t>
            </w:r>
          </w:p>
        </w:tc>
        <w:tc>
          <w:tcPr>
            <w:tcW w:w="351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思想政治、历史、生物</w:t>
            </w:r>
          </w:p>
        </w:tc>
      </w:tr>
      <w:tr>
        <w:tblPrEx>
          <w:tblW w:w="14325" w:type="dxa"/>
          <w:tblInd w:w="145" w:type="dxa"/>
          <w:tblCellMar>
            <w:top w:w="15" w:type="dxa"/>
            <w:left w:w="15" w:type="dxa"/>
            <w:bottom w:w="15" w:type="dxa"/>
            <w:right w:w="15" w:type="dxa"/>
          </w:tblCellMar>
        </w:tblPrEx>
        <w:trPr>
          <w:trHeight w:val="450"/>
        </w:trPr>
        <w:tc>
          <w:tcPr>
            <w:vMerge/>
            <w:tcBorders>
              <w:top w:val="single" w:sz="6" w:space="0" w:color="CCCCCC"/>
              <w:left w:val="double" w:sz="8" w:space="0" w:color="000000"/>
              <w:bottom w:val="double" w:sz="8" w:space="0" w:color="000000"/>
              <w:right w:val="double" w:sz="8" w:space="0" w:color="000000"/>
            </w:tcBorders>
            <w:vAlign w:val="center"/>
            <w:hideMark/>
          </w:tcPr>
          <w:p>
            <w:pPr>
              <w:rPr>
                <w:rFonts w:ascii="SimSun" w:eastAsia="SimSun" w:hAnsi="SimSun" w:cs="SimSun"/>
                <w:b w:val="0"/>
                <w:bCs w:val="0"/>
                <w:i w:val="0"/>
                <w:iCs w:val="0"/>
                <w:smallCaps w:val="0"/>
                <w:color w:val="666666"/>
                <w:sz w:val="21"/>
                <w:szCs w:val="21"/>
              </w:rPr>
            </w:pPr>
          </w:p>
        </w:tc>
        <w:tc>
          <w:tcPr>
            <w:tcW w:w="3290"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电气工程及其自动化</w:t>
            </w:r>
          </w:p>
        </w:tc>
        <w:tc>
          <w:tcPr>
            <w:tcW w:w="160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080601</w:t>
            </w:r>
          </w:p>
        </w:tc>
        <w:tc>
          <w:tcPr>
            <w:tcW w:w="351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物理、化学、地理</w:t>
            </w:r>
          </w:p>
        </w:tc>
      </w:tr>
      <w:tr>
        <w:tblPrEx>
          <w:tblW w:w="14325" w:type="dxa"/>
          <w:tblInd w:w="145" w:type="dxa"/>
          <w:tblCellMar>
            <w:top w:w="15" w:type="dxa"/>
            <w:left w:w="15" w:type="dxa"/>
            <w:bottom w:w="15" w:type="dxa"/>
            <w:right w:w="15" w:type="dxa"/>
          </w:tblCellMar>
        </w:tblPrEx>
        <w:trPr>
          <w:trHeight w:val="450"/>
        </w:trPr>
        <w:tc>
          <w:tcPr>
            <w:vMerge/>
            <w:tcBorders>
              <w:top w:val="single" w:sz="6" w:space="0" w:color="CCCCCC"/>
              <w:left w:val="double" w:sz="8" w:space="0" w:color="000000"/>
              <w:bottom w:val="double" w:sz="8" w:space="0" w:color="000000"/>
              <w:right w:val="double" w:sz="8" w:space="0" w:color="000000"/>
            </w:tcBorders>
            <w:vAlign w:val="center"/>
            <w:hideMark/>
          </w:tcPr>
          <w:p>
            <w:pPr>
              <w:rPr>
                <w:rFonts w:ascii="SimSun" w:eastAsia="SimSun" w:hAnsi="SimSun" w:cs="SimSun"/>
                <w:b w:val="0"/>
                <w:bCs w:val="0"/>
                <w:i w:val="0"/>
                <w:iCs w:val="0"/>
                <w:smallCaps w:val="0"/>
                <w:color w:val="666666"/>
                <w:sz w:val="21"/>
                <w:szCs w:val="21"/>
              </w:rPr>
            </w:pPr>
          </w:p>
        </w:tc>
        <w:tc>
          <w:tcPr>
            <w:tcW w:w="3290"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预防医学</w:t>
            </w:r>
          </w:p>
        </w:tc>
        <w:tc>
          <w:tcPr>
            <w:tcW w:w="160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100401</w:t>
            </w:r>
          </w:p>
        </w:tc>
        <w:tc>
          <w:tcPr>
            <w:tcW w:w="351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物理、化学、生物</w:t>
            </w:r>
          </w:p>
        </w:tc>
      </w:tr>
      <w:tr>
        <w:tblPrEx>
          <w:tblW w:w="14325" w:type="dxa"/>
          <w:tblInd w:w="145" w:type="dxa"/>
          <w:tblCellMar>
            <w:top w:w="15" w:type="dxa"/>
            <w:left w:w="15" w:type="dxa"/>
            <w:bottom w:w="15" w:type="dxa"/>
            <w:right w:w="15" w:type="dxa"/>
          </w:tblCellMar>
        </w:tblPrEx>
        <w:trPr>
          <w:trHeight w:val="450"/>
        </w:trPr>
        <w:tc>
          <w:tcPr>
            <w:vMerge/>
            <w:tcBorders>
              <w:top w:val="single" w:sz="6" w:space="0" w:color="CCCCCC"/>
              <w:left w:val="double" w:sz="8" w:space="0" w:color="000000"/>
              <w:bottom w:val="double" w:sz="8" w:space="0" w:color="000000"/>
              <w:right w:val="double" w:sz="8" w:space="0" w:color="000000"/>
            </w:tcBorders>
            <w:vAlign w:val="center"/>
            <w:hideMark/>
          </w:tcPr>
          <w:p>
            <w:pPr>
              <w:rPr>
                <w:rFonts w:ascii="SimSun" w:eastAsia="SimSun" w:hAnsi="SimSun" w:cs="SimSun"/>
                <w:b w:val="0"/>
                <w:bCs w:val="0"/>
                <w:i w:val="0"/>
                <w:iCs w:val="0"/>
                <w:smallCaps w:val="0"/>
                <w:color w:val="666666"/>
                <w:sz w:val="21"/>
                <w:szCs w:val="21"/>
              </w:rPr>
            </w:pPr>
          </w:p>
        </w:tc>
        <w:tc>
          <w:tcPr>
            <w:tcW w:w="3290"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建筑学</w:t>
            </w:r>
          </w:p>
        </w:tc>
        <w:tc>
          <w:tcPr>
            <w:tcW w:w="160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082801</w:t>
            </w:r>
          </w:p>
        </w:tc>
        <w:tc>
          <w:tcPr>
            <w:tcW w:w="351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物理、历史、地理</w:t>
            </w:r>
          </w:p>
        </w:tc>
      </w:tr>
      <w:tr>
        <w:tblPrEx>
          <w:tblW w:w="14325" w:type="dxa"/>
          <w:tblInd w:w="145" w:type="dxa"/>
          <w:tblCellMar>
            <w:top w:w="15" w:type="dxa"/>
            <w:left w:w="15" w:type="dxa"/>
            <w:bottom w:w="15" w:type="dxa"/>
            <w:right w:w="15" w:type="dxa"/>
          </w:tblCellMar>
        </w:tblPrEx>
        <w:trPr>
          <w:trHeight w:val="450"/>
        </w:trPr>
        <w:tc>
          <w:tcPr>
            <w:vMerge/>
            <w:tcBorders>
              <w:top w:val="single" w:sz="6" w:space="0" w:color="CCCCCC"/>
              <w:left w:val="double" w:sz="8" w:space="0" w:color="000000"/>
              <w:bottom w:val="double" w:sz="8" w:space="0" w:color="000000"/>
              <w:right w:val="double" w:sz="8" w:space="0" w:color="000000"/>
            </w:tcBorders>
            <w:vAlign w:val="center"/>
            <w:hideMark/>
          </w:tcPr>
          <w:p>
            <w:pPr>
              <w:rPr>
                <w:rFonts w:ascii="SimSun" w:eastAsia="SimSun" w:hAnsi="SimSun" w:cs="SimSun"/>
                <w:b w:val="0"/>
                <w:bCs w:val="0"/>
                <w:i w:val="0"/>
                <w:iCs w:val="0"/>
                <w:smallCaps w:val="0"/>
                <w:color w:val="666666"/>
                <w:sz w:val="21"/>
                <w:szCs w:val="21"/>
              </w:rPr>
            </w:pPr>
          </w:p>
        </w:tc>
        <w:tc>
          <w:tcPr>
            <w:tcW w:w="3290"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统计学</w:t>
            </w:r>
          </w:p>
        </w:tc>
        <w:tc>
          <w:tcPr>
            <w:tcW w:w="160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071201</w:t>
            </w:r>
          </w:p>
        </w:tc>
        <w:tc>
          <w:tcPr>
            <w:tcW w:w="351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物理、生物、化学</w:t>
            </w:r>
          </w:p>
        </w:tc>
      </w:tr>
      <w:tr>
        <w:tblPrEx>
          <w:tblW w:w="14325" w:type="dxa"/>
          <w:tblInd w:w="145" w:type="dxa"/>
          <w:tblCellMar>
            <w:top w:w="15" w:type="dxa"/>
            <w:left w:w="15" w:type="dxa"/>
            <w:bottom w:w="15" w:type="dxa"/>
            <w:right w:w="15" w:type="dxa"/>
          </w:tblCellMar>
        </w:tblPrEx>
        <w:trPr>
          <w:trHeight w:val="450"/>
        </w:trPr>
        <w:tc>
          <w:tcPr>
            <w:vMerge/>
            <w:tcBorders>
              <w:top w:val="single" w:sz="6" w:space="0" w:color="CCCCCC"/>
              <w:left w:val="double" w:sz="8" w:space="0" w:color="000000"/>
              <w:bottom w:val="double" w:sz="8" w:space="0" w:color="000000"/>
              <w:right w:val="double" w:sz="8" w:space="0" w:color="000000"/>
            </w:tcBorders>
            <w:vAlign w:val="center"/>
            <w:hideMark/>
          </w:tcPr>
          <w:p>
            <w:pPr>
              <w:rPr>
                <w:rFonts w:ascii="SimSun" w:eastAsia="SimSun" w:hAnsi="SimSun" w:cs="SimSun"/>
                <w:b w:val="0"/>
                <w:bCs w:val="0"/>
                <w:i w:val="0"/>
                <w:iCs w:val="0"/>
                <w:smallCaps w:val="0"/>
                <w:color w:val="666666"/>
                <w:sz w:val="21"/>
                <w:szCs w:val="21"/>
              </w:rPr>
            </w:pPr>
          </w:p>
        </w:tc>
        <w:tc>
          <w:tcPr>
            <w:tcW w:w="3290"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通信工程</w:t>
            </w:r>
          </w:p>
        </w:tc>
        <w:tc>
          <w:tcPr>
            <w:tcW w:w="160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080703</w:t>
            </w:r>
          </w:p>
        </w:tc>
        <w:tc>
          <w:tcPr>
            <w:tcW w:w="351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物理、生物、化学</w:t>
            </w:r>
          </w:p>
        </w:tc>
      </w:tr>
      <w:tr>
        <w:tblPrEx>
          <w:tblW w:w="14325" w:type="dxa"/>
          <w:tblInd w:w="145" w:type="dxa"/>
          <w:tblCellMar>
            <w:top w:w="15" w:type="dxa"/>
            <w:left w:w="15" w:type="dxa"/>
            <w:bottom w:w="15" w:type="dxa"/>
            <w:right w:w="15" w:type="dxa"/>
          </w:tblCellMar>
        </w:tblPrEx>
        <w:trPr>
          <w:trHeight w:val="450"/>
        </w:trPr>
        <w:tc>
          <w:tcPr>
            <w:vMerge/>
            <w:tcBorders>
              <w:top w:val="single" w:sz="6" w:space="0" w:color="CCCCCC"/>
              <w:left w:val="double" w:sz="8" w:space="0" w:color="000000"/>
              <w:bottom w:val="double" w:sz="8" w:space="0" w:color="000000"/>
              <w:right w:val="double" w:sz="8" w:space="0" w:color="000000"/>
            </w:tcBorders>
            <w:vAlign w:val="center"/>
            <w:hideMark/>
          </w:tcPr>
          <w:p>
            <w:pPr>
              <w:rPr>
                <w:rFonts w:ascii="SimSun" w:eastAsia="SimSun" w:hAnsi="SimSun" w:cs="SimSun"/>
                <w:b w:val="0"/>
                <w:bCs w:val="0"/>
                <w:i w:val="0"/>
                <w:iCs w:val="0"/>
                <w:smallCaps w:val="0"/>
                <w:color w:val="666666"/>
                <w:sz w:val="21"/>
                <w:szCs w:val="21"/>
              </w:rPr>
            </w:pPr>
          </w:p>
        </w:tc>
        <w:tc>
          <w:tcPr>
            <w:tcW w:w="3290"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数学与应用数学</w:t>
            </w:r>
          </w:p>
        </w:tc>
        <w:tc>
          <w:tcPr>
            <w:tcW w:w="160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070101</w:t>
            </w:r>
          </w:p>
        </w:tc>
        <w:tc>
          <w:tcPr>
            <w:tcW w:w="351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物理、生物、化学</w:t>
            </w:r>
          </w:p>
        </w:tc>
      </w:tr>
      <w:tr>
        <w:tblPrEx>
          <w:tblW w:w="14325" w:type="dxa"/>
          <w:tblInd w:w="145" w:type="dxa"/>
          <w:tblCellMar>
            <w:top w:w="15" w:type="dxa"/>
            <w:left w:w="15" w:type="dxa"/>
            <w:bottom w:w="15" w:type="dxa"/>
            <w:right w:w="15" w:type="dxa"/>
          </w:tblCellMar>
        </w:tblPrEx>
        <w:trPr>
          <w:trHeight w:val="450"/>
        </w:trPr>
        <w:tc>
          <w:tcPr>
            <w:vMerge/>
            <w:tcBorders>
              <w:top w:val="single" w:sz="6" w:space="0" w:color="CCCCCC"/>
              <w:left w:val="double" w:sz="8" w:space="0" w:color="000000"/>
              <w:bottom w:val="double" w:sz="8" w:space="0" w:color="000000"/>
              <w:right w:val="double" w:sz="8" w:space="0" w:color="000000"/>
            </w:tcBorders>
            <w:vAlign w:val="center"/>
            <w:hideMark/>
          </w:tcPr>
          <w:p>
            <w:pPr>
              <w:rPr>
                <w:rFonts w:ascii="SimSun" w:eastAsia="SimSun" w:hAnsi="SimSun" w:cs="SimSun"/>
                <w:b w:val="0"/>
                <w:bCs w:val="0"/>
                <w:i w:val="0"/>
                <w:iCs w:val="0"/>
                <w:smallCaps w:val="0"/>
                <w:color w:val="666666"/>
                <w:sz w:val="21"/>
                <w:szCs w:val="21"/>
              </w:rPr>
            </w:pPr>
          </w:p>
        </w:tc>
        <w:tc>
          <w:tcPr>
            <w:tcW w:w="3290"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计算机科学与技术</w:t>
            </w:r>
          </w:p>
        </w:tc>
        <w:tc>
          <w:tcPr>
            <w:tcW w:w="160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080901</w:t>
            </w:r>
          </w:p>
        </w:tc>
        <w:tc>
          <w:tcPr>
            <w:tcW w:w="3515" w:type="dxa"/>
            <w:tcBorders>
              <w:top w:val="single" w:sz="6" w:space="0" w:color="CCCCCC"/>
              <w:bottom w:val="double" w:sz="8" w:space="0" w:color="000000"/>
              <w:right w:val="double" w:sz="8"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物理、生物、化学</w:t>
            </w:r>
          </w:p>
        </w:tc>
      </w:tr>
    </w:tbl>
    <w:p>
      <w:pPr>
        <w:pBdr>
          <w:top w:val="none" w:sz="0" w:space="0" w:color="auto"/>
          <w:left w:val="none" w:sz="0" w:space="0" w:color="auto"/>
          <w:bottom w:val="none" w:sz="0" w:space="0" w:color="auto"/>
          <w:right w:val="none" w:sz="0" w:space="0" w:color="auto"/>
        </w:pBdr>
        <w:spacing w:before="24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b/>
          <w:bCs/>
          <w:color w:val="666666"/>
          <w:sz w:val="32"/>
          <w:szCs w:val="32"/>
        </w:rPr>
        <w:t>第十七条</w:t>
      </w:r>
      <w:r>
        <w:rPr>
          <w:rFonts w:ascii="Calibri" w:eastAsia="Calibri" w:hAnsi="Calibri" w:cs="Calibri"/>
          <w:b/>
          <w:bCs/>
          <w:color w:val="666666"/>
          <w:sz w:val="32"/>
          <w:szCs w:val="32"/>
        </w:rPr>
        <w:t> </w:t>
      </w:r>
      <w:r>
        <w:rPr>
          <w:rFonts w:ascii="FangSong" w:eastAsia="FangSong" w:hAnsi="FangSong" w:cs="FangSong"/>
          <w:color w:val="666666"/>
          <w:sz w:val="32"/>
          <w:szCs w:val="32"/>
        </w:rPr>
        <w:t>我校根据在各省（区、市）的招生计划和生源情况</w:t>
      </w:r>
      <w:r>
        <w:rPr>
          <w:rFonts w:ascii="FangSong" w:eastAsia="FangSong" w:hAnsi="FangSong" w:cs="FangSong"/>
          <w:color w:val="666666"/>
          <w:sz w:val="32"/>
          <w:szCs w:val="32"/>
        </w:rPr>
        <w:t>确定调档比例，顺序志愿投档的批次不超过</w:t>
      </w:r>
      <w:r>
        <w:rPr>
          <w:rFonts w:ascii="FangSong" w:eastAsia="FangSong" w:hAnsi="FangSong" w:cs="FangSong"/>
          <w:color w:val="666666"/>
          <w:sz w:val="32"/>
          <w:szCs w:val="32"/>
        </w:rPr>
        <w:t>120%，平行志愿投档的批次不超过105%。</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b/>
          <w:bCs/>
          <w:color w:val="666666"/>
          <w:sz w:val="32"/>
          <w:szCs w:val="32"/>
        </w:rPr>
        <w:t>第十八条</w:t>
      </w:r>
      <w:r>
        <w:rPr>
          <w:rFonts w:ascii="Calibri" w:eastAsia="Calibri" w:hAnsi="Calibri" w:cs="Calibri"/>
          <w:b/>
          <w:bCs/>
          <w:color w:val="666666"/>
          <w:sz w:val="32"/>
          <w:szCs w:val="32"/>
        </w:rPr>
        <w:t> </w:t>
      </w:r>
      <w:r>
        <w:rPr>
          <w:rFonts w:ascii="FangSong" w:eastAsia="FangSong" w:hAnsi="FangSong" w:cs="FangSong"/>
          <w:color w:val="666666"/>
          <w:sz w:val="32"/>
          <w:szCs w:val="32"/>
        </w:rPr>
        <w:t>按照平行志愿投档的批次，实行分数优先的原则进行录取。录取方法是：同批次投档中，按分数排序从高到低进行专业录取；分数相同的，按专业志愿优先原则录取；分数和志愿相同的，按语文、数学、外语科目排序，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b/>
          <w:bCs/>
          <w:color w:val="666666"/>
          <w:sz w:val="32"/>
          <w:szCs w:val="32"/>
        </w:rPr>
        <w:t>第十九条</w:t>
      </w:r>
      <w:r>
        <w:rPr>
          <w:rFonts w:ascii="Calibri" w:eastAsia="Calibri" w:hAnsi="Calibri" w:cs="Calibri"/>
          <w:b/>
          <w:bCs/>
          <w:color w:val="666666"/>
          <w:spacing w:val="15"/>
          <w:sz w:val="32"/>
          <w:szCs w:val="32"/>
        </w:rPr>
        <w:t> </w:t>
      </w:r>
      <w:r>
        <w:rPr>
          <w:rFonts w:ascii="FangSong" w:eastAsia="FangSong" w:hAnsi="FangSong" w:cs="FangSong"/>
          <w:color w:val="666666"/>
          <w:sz w:val="32"/>
          <w:szCs w:val="32"/>
        </w:rPr>
        <w:t>按照顺序志愿投档的批次，优先录取第一志愿报考的考生；在第一志愿生源不足的情况下，我校招收非第一志愿考生。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b/>
          <w:bCs/>
          <w:color w:val="666666"/>
          <w:sz w:val="32"/>
          <w:szCs w:val="32"/>
        </w:rPr>
        <w:t>第二十条</w:t>
      </w:r>
      <w:r>
        <w:rPr>
          <w:rFonts w:ascii="Calibri" w:eastAsia="Calibri" w:hAnsi="Calibri" w:cs="Calibri"/>
          <w:b/>
          <w:bCs/>
          <w:color w:val="666666"/>
          <w:spacing w:val="15"/>
          <w:sz w:val="32"/>
          <w:szCs w:val="32"/>
        </w:rPr>
        <w:t> </w:t>
      </w:r>
      <w:r>
        <w:rPr>
          <w:rFonts w:ascii="FangSong" w:eastAsia="FangSong" w:hAnsi="FangSong" w:cs="FangSong"/>
          <w:color w:val="666666"/>
          <w:sz w:val="32"/>
          <w:szCs w:val="32"/>
        </w:rPr>
        <w:t>艺术、体育类专业的考生，其文化和专业考试成绩均达到生源地省级招生管理部门划定的投档线者，按专业成绩从高到低进行录取；部分按综合成绩投档的省份，</w:t>
      </w:r>
      <w:r>
        <w:rPr>
          <w:rFonts w:ascii="FangSong" w:eastAsia="FangSong" w:hAnsi="FangSong" w:cs="FangSong"/>
          <w:color w:val="666666"/>
          <w:spacing w:val="15"/>
          <w:sz w:val="32"/>
          <w:szCs w:val="32"/>
        </w:rPr>
        <w:t>执行</w:t>
      </w:r>
      <w:r>
        <w:rPr>
          <w:rFonts w:ascii="FangSong" w:eastAsia="FangSong" w:hAnsi="FangSong" w:cs="FangSong"/>
          <w:color w:val="666666"/>
          <w:sz w:val="32"/>
          <w:szCs w:val="32"/>
        </w:rPr>
        <w:t>生源地</w:t>
      </w:r>
      <w:r>
        <w:rPr>
          <w:rFonts w:ascii="FangSong" w:eastAsia="FangSong" w:hAnsi="FangSong" w:cs="FangSong"/>
          <w:color w:val="666666"/>
          <w:spacing w:val="15"/>
          <w:sz w:val="32"/>
          <w:szCs w:val="32"/>
        </w:rPr>
        <w:t>省级招生管理部门的规定，</w:t>
      </w:r>
      <w:r>
        <w:rPr>
          <w:rFonts w:ascii="FangSong" w:eastAsia="FangSong" w:hAnsi="FangSong" w:cs="FangSong"/>
          <w:color w:val="666666"/>
          <w:sz w:val="32"/>
          <w:szCs w:val="32"/>
        </w:rPr>
        <w:t>按综合成绩从高到低进行录取</w:t>
      </w:r>
      <w:r>
        <w:rPr>
          <w:rFonts w:ascii="FangSong" w:eastAsia="FangSong" w:hAnsi="FangSong" w:cs="FangSong"/>
          <w:color w:val="666666"/>
          <w:spacing w:val="15"/>
          <w:sz w:val="32"/>
          <w:szCs w:val="32"/>
        </w:rPr>
        <w:t>。</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b/>
          <w:bCs/>
          <w:color w:val="666666"/>
          <w:sz w:val="32"/>
          <w:szCs w:val="32"/>
        </w:rPr>
        <w:t>第二十一条</w:t>
      </w:r>
      <w:r>
        <w:rPr>
          <w:rFonts w:ascii="Calibri" w:eastAsia="Calibri" w:hAnsi="Calibri" w:cs="Calibri"/>
          <w:color w:val="666666"/>
          <w:spacing w:val="15"/>
          <w:sz w:val="32"/>
          <w:szCs w:val="32"/>
        </w:rPr>
        <w:t> </w:t>
      </w:r>
      <w:r>
        <w:rPr>
          <w:rFonts w:ascii="FangSong" w:eastAsia="FangSong" w:hAnsi="FangSong" w:cs="FangSong"/>
          <w:color w:val="666666"/>
          <w:spacing w:val="15"/>
          <w:sz w:val="32"/>
          <w:szCs w:val="32"/>
        </w:rPr>
        <w:t>录取的学生名单在各生源地省级招生管理部门网络媒体上公布的同时，学校也将录取名单、各专业最高分、最低分在学校网站上公布。</w:t>
      </w:r>
    </w:p>
    <w:p>
      <w:pPr>
        <w:pBdr>
          <w:top w:val="none" w:sz="0" w:space="0" w:color="auto"/>
          <w:left w:val="none" w:sz="0" w:space="0" w:color="auto"/>
          <w:bottom w:val="none" w:sz="0" w:space="0" w:color="auto"/>
          <w:right w:val="none" w:sz="0" w:space="0" w:color="auto"/>
        </w:pBdr>
        <w:spacing w:before="0" w:after="0" w:line="420" w:lineRule="atLeast"/>
        <w:ind w:left="0" w:right="0" w:firstLine="690"/>
        <w:rPr>
          <w:rFonts w:ascii="Microsoft YaHei" w:eastAsia="Microsoft YaHei" w:hAnsi="Microsoft YaHei" w:cs="Microsoft YaHei"/>
          <w:color w:val="666666"/>
          <w:sz w:val="21"/>
          <w:szCs w:val="21"/>
        </w:rPr>
      </w:pPr>
      <w:r>
        <w:rPr>
          <w:rFonts w:ascii="Calibri" w:eastAsia="Calibri" w:hAnsi="Calibri" w:cs="Calibri"/>
          <w:color w:val="666666"/>
          <w:spacing w:val="15"/>
          <w:sz w:val="32"/>
          <w:szCs w:val="32"/>
        </w:rPr>
        <w:t> </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SimHei" w:eastAsia="SimHei" w:hAnsi="SimHei" w:cs="SimHei"/>
          <w:b/>
          <w:bCs/>
          <w:color w:val="666666"/>
          <w:sz w:val="32"/>
          <w:szCs w:val="32"/>
        </w:rPr>
        <w:t>第五章</w:t>
      </w:r>
      <w:r>
        <w:rPr>
          <w:rFonts w:ascii="Calibri" w:eastAsia="Calibri" w:hAnsi="Calibri" w:cs="Calibri"/>
          <w:b/>
          <w:bCs/>
          <w:color w:val="666666"/>
          <w:sz w:val="32"/>
          <w:szCs w:val="32"/>
        </w:rPr>
        <w:t>  </w:t>
      </w:r>
      <w:r>
        <w:rPr>
          <w:rFonts w:ascii="SimHei" w:eastAsia="SimHei" w:hAnsi="SimHei" w:cs="SimHei"/>
          <w:b/>
          <w:bCs/>
          <w:color w:val="666666"/>
          <w:sz w:val="32"/>
          <w:szCs w:val="32"/>
        </w:rPr>
        <w:t>其</w:t>
      </w:r>
      <w:r>
        <w:rPr>
          <w:rFonts w:ascii="Calibri" w:eastAsia="Calibri" w:hAnsi="Calibri" w:cs="Calibri"/>
          <w:b/>
          <w:bCs/>
          <w:color w:val="666666"/>
          <w:sz w:val="32"/>
          <w:szCs w:val="32"/>
        </w:rPr>
        <w:t> </w:t>
      </w:r>
      <w:r>
        <w:rPr>
          <w:rFonts w:ascii="SimHei" w:eastAsia="SimHei" w:hAnsi="SimHei" w:cs="SimHei"/>
          <w:b/>
          <w:bCs/>
          <w:color w:val="666666"/>
          <w:sz w:val="32"/>
          <w:szCs w:val="32"/>
        </w:rPr>
        <w:t>他</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b/>
          <w:bCs/>
          <w:color w:val="666666"/>
          <w:sz w:val="32"/>
          <w:szCs w:val="32"/>
        </w:rPr>
        <w:t>第二十二条</w:t>
      </w:r>
      <w:r>
        <w:rPr>
          <w:rFonts w:ascii="Calibri" w:eastAsia="Calibri" w:hAnsi="Calibri" w:cs="Calibri"/>
          <w:b/>
          <w:bCs/>
          <w:color w:val="666666"/>
          <w:spacing w:val="15"/>
          <w:sz w:val="32"/>
          <w:szCs w:val="32"/>
        </w:rPr>
        <w:t> </w:t>
      </w:r>
      <w:r>
        <w:rPr>
          <w:rFonts w:ascii="FangSong" w:eastAsia="FangSong" w:hAnsi="FangSong" w:cs="FangSong"/>
          <w:color w:val="666666"/>
          <w:spacing w:val="15"/>
          <w:sz w:val="32"/>
          <w:szCs w:val="32"/>
        </w:rPr>
        <w:t>学校实行基本学制基础上的弹性学制。临床医学、儿科学、口腔医学、医学影像学、临床药学、预防医学、建筑学等专业基本学制为</w:t>
      </w:r>
      <w:r>
        <w:rPr>
          <w:rFonts w:ascii="FangSong" w:eastAsia="FangSong" w:hAnsi="FangSong" w:cs="FangSong"/>
          <w:color w:val="666666"/>
          <w:spacing w:val="15"/>
          <w:sz w:val="32"/>
          <w:szCs w:val="32"/>
        </w:rPr>
        <w:t>5年，弹性学制4-7年；其他专业基本学制为4年，弹性学制3-6年。</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b/>
          <w:bCs/>
          <w:color w:val="666666"/>
          <w:sz w:val="32"/>
          <w:szCs w:val="32"/>
        </w:rPr>
        <w:t>第二十三条</w:t>
      </w:r>
      <w:r>
        <w:rPr>
          <w:rFonts w:ascii="Calibri" w:eastAsia="Calibri" w:hAnsi="Calibri" w:cs="Calibri"/>
          <w:b/>
          <w:bCs/>
          <w:color w:val="666666"/>
          <w:spacing w:val="15"/>
          <w:sz w:val="32"/>
          <w:szCs w:val="32"/>
        </w:rPr>
        <w:t> </w:t>
      </w:r>
      <w:r>
        <w:rPr>
          <w:rFonts w:ascii="FangSong" w:eastAsia="FangSong" w:hAnsi="FangSong" w:cs="FangSong"/>
          <w:color w:val="666666"/>
          <w:spacing w:val="15"/>
          <w:sz w:val="32"/>
          <w:szCs w:val="32"/>
        </w:rPr>
        <w:t>新生入校后，我校统一进行新生复查工作。凡复查不合格的新生，将按照有关规定进行处理，直至取消入学资格。凡发现以弄虚作假手段取得入学资格者，均取消其入学资格。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b/>
          <w:bCs/>
          <w:color w:val="666666"/>
          <w:sz w:val="32"/>
          <w:szCs w:val="32"/>
        </w:rPr>
        <w:t>第二十四条</w:t>
      </w:r>
      <w:r>
        <w:rPr>
          <w:rFonts w:ascii="Calibri" w:eastAsia="Calibri" w:hAnsi="Calibri" w:cs="Calibri"/>
          <w:color w:val="666666"/>
          <w:spacing w:val="15"/>
          <w:sz w:val="32"/>
          <w:szCs w:val="32"/>
        </w:rPr>
        <w:t> </w:t>
      </w:r>
      <w:r>
        <w:rPr>
          <w:rFonts w:ascii="FangSong" w:eastAsia="FangSong" w:hAnsi="FangSong" w:cs="FangSong"/>
          <w:color w:val="666666"/>
          <w:spacing w:val="15"/>
          <w:sz w:val="32"/>
          <w:szCs w:val="32"/>
        </w:rPr>
        <w:t>学费标准：录取新生缴费执行当年云南省发展和改革委员会、云南省财政厅、云南省教育厅核定的收费标准。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b/>
          <w:bCs/>
          <w:color w:val="666666"/>
          <w:sz w:val="32"/>
          <w:szCs w:val="32"/>
        </w:rPr>
        <w:t>第二十五条</w:t>
      </w:r>
      <w:r>
        <w:rPr>
          <w:rFonts w:ascii="Calibri" w:eastAsia="Calibri" w:hAnsi="Calibri" w:cs="Calibri"/>
          <w:color w:val="666666"/>
          <w:spacing w:val="15"/>
          <w:sz w:val="32"/>
          <w:szCs w:val="32"/>
        </w:rPr>
        <w:t> </w:t>
      </w:r>
      <w:r>
        <w:rPr>
          <w:rFonts w:ascii="FangSong" w:eastAsia="FangSong" w:hAnsi="FangSong" w:cs="FangSong"/>
          <w:color w:val="666666"/>
          <w:spacing w:val="15"/>
          <w:sz w:val="32"/>
          <w:szCs w:val="32"/>
        </w:rPr>
        <w:t>住宿费标准：录取新生住宿费以云南省发展和改革委员会批复为准。</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b/>
          <w:bCs/>
          <w:color w:val="666666"/>
          <w:sz w:val="32"/>
          <w:szCs w:val="32"/>
        </w:rPr>
        <w:t>第二十六条</w:t>
      </w:r>
      <w:r>
        <w:rPr>
          <w:rFonts w:ascii="Calibri" w:eastAsia="Calibri" w:hAnsi="Calibri" w:cs="Calibri"/>
          <w:b/>
          <w:bCs/>
          <w:color w:val="666666"/>
          <w:spacing w:val="15"/>
          <w:sz w:val="32"/>
          <w:szCs w:val="32"/>
        </w:rPr>
        <w:t> </w:t>
      </w:r>
      <w:r>
        <w:rPr>
          <w:rFonts w:ascii="FangSong" w:eastAsia="FangSong" w:hAnsi="FangSong" w:cs="FangSong"/>
          <w:color w:val="666666"/>
          <w:spacing w:val="15"/>
          <w:sz w:val="32"/>
          <w:szCs w:val="32"/>
        </w:rPr>
        <w:t>学校依据有关规定设立奖学金、国家助学贷款、勤工助学、学费减免、临时困难补助等多元化助学体系给予资助，帮助经济困难的学生完成学业。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b/>
          <w:bCs/>
          <w:color w:val="666666"/>
          <w:sz w:val="32"/>
          <w:szCs w:val="32"/>
        </w:rPr>
        <w:t>第二十七条</w:t>
      </w:r>
      <w:r>
        <w:rPr>
          <w:rFonts w:ascii="Calibri" w:eastAsia="Calibri" w:hAnsi="Calibri" w:cs="Calibri"/>
          <w:color w:val="666666"/>
          <w:spacing w:val="15"/>
          <w:sz w:val="32"/>
          <w:szCs w:val="32"/>
        </w:rPr>
        <w:t> </w:t>
      </w:r>
      <w:r>
        <w:rPr>
          <w:rFonts w:ascii="FangSong" w:eastAsia="FangSong" w:hAnsi="FangSong" w:cs="FangSong"/>
          <w:color w:val="666666"/>
          <w:spacing w:val="15"/>
          <w:sz w:val="32"/>
          <w:szCs w:val="32"/>
        </w:rPr>
        <w:t>咨询及联系方式：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690"/>
        <w:rPr>
          <w:rFonts w:ascii="Microsoft YaHei" w:eastAsia="Microsoft YaHei" w:hAnsi="Microsoft YaHei" w:cs="Microsoft YaHei"/>
          <w:color w:val="666666"/>
          <w:sz w:val="21"/>
          <w:szCs w:val="21"/>
        </w:rPr>
      </w:pPr>
      <w:r>
        <w:rPr>
          <w:rFonts w:ascii="FangSong" w:eastAsia="FangSong" w:hAnsi="FangSong" w:cs="FangSong"/>
          <w:color w:val="666666"/>
          <w:spacing w:val="15"/>
          <w:sz w:val="32"/>
          <w:szCs w:val="32"/>
        </w:rPr>
        <w:t>1.地址：云南省大理州大理市大理镇弘圣路</w:t>
      </w:r>
      <w:r>
        <w:rPr>
          <w:rFonts w:ascii="FangSong" w:eastAsia="FangSong" w:hAnsi="FangSong" w:cs="FangSong"/>
          <w:color w:val="666666"/>
          <w:spacing w:val="15"/>
          <w:sz w:val="32"/>
          <w:szCs w:val="32"/>
        </w:rPr>
        <w:t>2</w:t>
      </w:r>
      <w:r>
        <w:rPr>
          <w:rFonts w:ascii="FangSong" w:eastAsia="FangSong" w:hAnsi="FangSong" w:cs="FangSong"/>
          <w:color w:val="666666"/>
          <w:spacing w:val="15"/>
          <w:sz w:val="32"/>
          <w:szCs w:val="32"/>
        </w:rPr>
        <w:t>号</w:t>
      </w:r>
    </w:p>
    <w:p>
      <w:pPr>
        <w:pBdr>
          <w:top w:val="none" w:sz="0" w:space="0" w:color="auto"/>
          <w:left w:val="none" w:sz="0" w:space="0" w:color="auto"/>
          <w:bottom w:val="none" w:sz="0" w:space="0" w:color="auto"/>
          <w:right w:val="none" w:sz="0" w:space="0" w:color="auto"/>
        </w:pBdr>
        <w:spacing w:before="0" w:after="0" w:line="420" w:lineRule="atLeast"/>
        <w:ind w:left="0" w:right="0" w:firstLine="690"/>
        <w:rPr>
          <w:rFonts w:ascii="Microsoft YaHei" w:eastAsia="Microsoft YaHei" w:hAnsi="Microsoft YaHei" w:cs="Microsoft YaHei"/>
          <w:color w:val="666666"/>
          <w:sz w:val="21"/>
          <w:szCs w:val="21"/>
        </w:rPr>
      </w:pPr>
      <w:r>
        <w:rPr>
          <w:rFonts w:ascii="FangSong" w:eastAsia="FangSong" w:hAnsi="FangSong" w:cs="FangSong"/>
          <w:color w:val="666666"/>
          <w:spacing w:val="15"/>
          <w:sz w:val="32"/>
          <w:szCs w:val="32"/>
        </w:rPr>
        <w:t>2.邮编：671003</w:t>
      </w:r>
    </w:p>
    <w:p>
      <w:pPr>
        <w:pBdr>
          <w:top w:val="none" w:sz="0" w:space="0" w:color="auto"/>
          <w:left w:val="none" w:sz="0" w:space="0" w:color="auto"/>
          <w:bottom w:val="none" w:sz="0" w:space="0" w:color="auto"/>
          <w:right w:val="none" w:sz="0" w:space="0" w:color="auto"/>
        </w:pBdr>
        <w:spacing w:before="0" w:after="0" w:line="420" w:lineRule="atLeast"/>
        <w:ind w:left="0" w:right="0" w:firstLine="690"/>
        <w:rPr>
          <w:rFonts w:ascii="Microsoft YaHei" w:eastAsia="Microsoft YaHei" w:hAnsi="Microsoft YaHei" w:cs="Microsoft YaHei"/>
          <w:color w:val="666666"/>
          <w:sz w:val="21"/>
          <w:szCs w:val="21"/>
        </w:rPr>
      </w:pPr>
      <w:r>
        <w:rPr>
          <w:rFonts w:ascii="FangSong" w:eastAsia="FangSong" w:hAnsi="FangSong" w:cs="FangSong"/>
          <w:color w:val="666666"/>
          <w:spacing w:val="15"/>
          <w:sz w:val="32"/>
          <w:szCs w:val="32"/>
        </w:rPr>
        <w:t xml:space="preserve">3.招生咨询电话及传真：（0872）2219959 </w:t>
      </w:r>
      <w:r>
        <w:rPr>
          <w:rFonts w:ascii="Calibri" w:eastAsia="Calibri" w:hAnsi="Calibri" w:cs="Calibri"/>
          <w:color w:val="666666"/>
          <w:spacing w:val="15"/>
          <w:sz w:val="32"/>
          <w:szCs w:val="32"/>
        </w:rPr>
        <w:t> </w:t>
      </w:r>
      <w:r>
        <w:rPr>
          <w:rFonts w:ascii="FangSong" w:eastAsia="FangSong" w:hAnsi="FangSong" w:cs="FangSong"/>
          <w:color w:val="666666"/>
          <w:spacing w:val="15"/>
          <w:sz w:val="32"/>
          <w:szCs w:val="32"/>
        </w:rPr>
        <w:t>2219956</w:t>
      </w:r>
    </w:p>
    <w:p>
      <w:pPr>
        <w:pBdr>
          <w:top w:val="none" w:sz="0" w:space="0" w:color="auto"/>
          <w:left w:val="none" w:sz="0" w:space="0" w:color="auto"/>
          <w:bottom w:val="none" w:sz="0" w:space="0" w:color="auto"/>
          <w:right w:val="none" w:sz="0" w:space="0" w:color="auto"/>
        </w:pBdr>
        <w:spacing w:before="0" w:after="0" w:line="420" w:lineRule="atLeast"/>
        <w:ind w:left="0" w:right="0" w:firstLine="690"/>
        <w:rPr>
          <w:rFonts w:ascii="Microsoft YaHei" w:eastAsia="Microsoft YaHei" w:hAnsi="Microsoft YaHei" w:cs="Microsoft YaHei"/>
          <w:color w:val="666666"/>
          <w:sz w:val="21"/>
          <w:szCs w:val="21"/>
        </w:rPr>
      </w:pPr>
      <w:r>
        <w:rPr>
          <w:rFonts w:ascii="FangSong" w:eastAsia="FangSong" w:hAnsi="FangSong" w:cs="FangSong"/>
          <w:color w:val="666666"/>
          <w:spacing w:val="15"/>
          <w:sz w:val="32"/>
          <w:szCs w:val="32"/>
        </w:rPr>
        <w:t>4.纪检监察部门监督电话：（0872）2219909</w:t>
      </w:r>
    </w:p>
    <w:p>
      <w:pPr>
        <w:pBdr>
          <w:top w:val="none" w:sz="0" w:space="0" w:color="auto"/>
          <w:left w:val="none" w:sz="0" w:space="0" w:color="auto"/>
          <w:bottom w:val="none" w:sz="0" w:space="0" w:color="auto"/>
          <w:right w:val="none" w:sz="0" w:space="0" w:color="auto"/>
        </w:pBdr>
        <w:spacing w:before="0" w:after="0" w:line="420" w:lineRule="atLeast"/>
        <w:ind w:left="0" w:right="0" w:firstLine="690"/>
        <w:rPr>
          <w:rFonts w:ascii="Microsoft YaHei" w:eastAsia="Microsoft YaHei" w:hAnsi="Microsoft YaHei" w:cs="Microsoft YaHei"/>
          <w:color w:val="666666"/>
          <w:sz w:val="21"/>
          <w:szCs w:val="21"/>
        </w:rPr>
      </w:pPr>
      <w:r>
        <w:rPr>
          <w:rFonts w:ascii="FangSong" w:eastAsia="FangSong" w:hAnsi="FangSong" w:cs="FangSong"/>
          <w:color w:val="666666"/>
          <w:spacing w:val="15"/>
          <w:sz w:val="32"/>
          <w:szCs w:val="32"/>
        </w:rPr>
        <w:t>5.学校网址：http://www.dali.edu.cn</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Calibri" w:eastAsia="Calibri" w:hAnsi="Calibri" w:cs="Calibri"/>
          <w:b/>
          <w:bCs/>
          <w:color w:val="666666"/>
          <w:sz w:val="32"/>
          <w:szCs w:val="32"/>
        </w:rPr>
        <w:t> </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SimHei" w:eastAsia="SimHei" w:hAnsi="SimHei" w:cs="SimHei"/>
          <w:b/>
          <w:bCs/>
          <w:color w:val="666666"/>
          <w:sz w:val="32"/>
          <w:szCs w:val="32"/>
        </w:rPr>
        <w:t>第六章</w:t>
      </w:r>
      <w:r>
        <w:rPr>
          <w:rFonts w:ascii="Calibri" w:eastAsia="Calibri" w:hAnsi="Calibri" w:cs="Calibri"/>
          <w:b/>
          <w:bCs/>
          <w:color w:val="666666"/>
          <w:sz w:val="32"/>
          <w:szCs w:val="32"/>
        </w:rPr>
        <w:t>  </w:t>
      </w:r>
      <w:r>
        <w:rPr>
          <w:rFonts w:ascii="SimHei" w:eastAsia="SimHei" w:hAnsi="SimHei" w:cs="SimHei"/>
          <w:b/>
          <w:bCs/>
          <w:color w:val="666666"/>
          <w:sz w:val="32"/>
          <w:szCs w:val="32"/>
        </w:rPr>
        <w:t>附</w:t>
      </w:r>
      <w:r>
        <w:rPr>
          <w:rFonts w:ascii="Calibri" w:eastAsia="Calibri" w:hAnsi="Calibri" w:cs="Calibri"/>
          <w:b/>
          <w:bCs/>
          <w:color w:val="666666"/>
          <w:sz w:val="32"/>
          <w:szCs w:val="32"/>
        </w:rPr>
        <w:t> </w:t>
      </w:r>
      <w:r>
        <w:rPr>
          <w:rFonts w:ascii="SimHei" w:eastAsia="SimHei" w:hAnsi="SimHei" w:cs="SimHei"/>
          <w:b/>
          <w:bCs/>
          <w:color w:val="666666"/>
          <w:sz w:val="32"/>
          <w:szCs w:val="32"/>
        </w:rPr>
        <w:t>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Calibri" w:eastAsia="Calibri" w:hAnsi="Calibri" w:cs="Calibri"/>
          <w:b/>
          <w:bCs/>
          <w:color w:val="666666"/>
          <w:sz w:val="32"/>
          <w:szCs w:val="32"/>
        </w:rPr>
        <w:t>  </w:t>
      </w:r>
      <w:r>
        <w:rPr>
          <w:rFonts w:ascii="楷体_GB2312" w:eastAsia="楷体_GB2312" w:hAnsi="楷体_GB2312" w:cs="楷体_GB2312"/>
          <w:b/>
          <w:bCs/>
          <w:color w:val="666666"/>
          <w:sz w:val="32"/>
          <w:szCs w:val="32"/>
        </w:rPr>
        <w:t>第二十八条</w:t>
      </w:r>
      <w:r>
        <w:rPr>
          <w:rFonts w:ascii="Calibri" w:eastAsia="Calibri" w:hAnsi="Calibri" w:cs="Calibri"/>
          <w:b/>
          <w:bCs/>
          <w:color w:val="666666"/>
          <w:sz w:val="32"/>
          <w:szCs w:val="32"/>
        </w:rPr>
        <w:t> </w:t>
      </w:r>
      <w:r>
        <w:rPr>
          <w:rFonts w:ascii="FangSong" w:eastAsia="FangSong" w:hAnsi="FangSong" w:cs="FangSong"/>
          <w:color w:val="666666"/>
          <w:spacing w:val="15"/>
          <w:sz w:val="32"/>
          <w:szCs w:val="32"/>
        </w:rPr>
        <w:t>本章</w:t>
      </w:r>
      <w:r>
        <w:rPr>
          <w:rFonts w:ascii="FangSong" w:eastAsia="FangSong" w:hAnsi="FangSong" w:cs="FangSong"/>
          <w:color w:val="666666"/>
          <w:spacing w:val="15"/>
          <w:sz w:val="32"/>
          <w:szCs w:val="32"/>
        </w:rPr>
        <w:t>程通过阳光高考平</w:t>
      </w:r>
      <w:r>
        <w:rPr>
          <w:rFonts w:ascii="FangSong" w:eastAsia="FangSong" w:hAnsi="FangSong" w:cs="FangSong"/>
          <w:color w:val="666666"/>
          <w:spacing w:val="15"/>
          <w:sz w:val="32"/>
          <w:szCs w:val="32"/>
        </w:rPr>
        <w:t>台和学校网站向社会发布，对于各种媒体节选公布的章程内容，如理解有误，以我校公布的完整的招生章程为准。</w:t>
      </w:r>
    </w:p>
    <w:p>
      <w:pPr>
        <w:pBdr>
          <w:top w:val="none" w:sz="0" w:space="0" w:color="auto"/>
          <w:left w:val="none" w:sz="0" w:space="0" w:color="auto"/>
          <w:bottom w:val="none" w:sz="0" w:space="0" w:color="auto"/>
          <w:right w:val="none" w:sz="0" w:space="0" w:color="auto"/>
        </w:pBdr>
        <w:spacing w:before="0" w:after="0" w:line="420" w:lineRule="atLeast"/>
        <w:ind w:left="0" w:right="600" w:firstLine="645"/>
        <w:rPr>
          <w:rFonts w:ascii="Microsoft YaHei" w:eastAsia="Microsoft YaHei" w:hAnsi="Microsoft YaHei" w:cs="Microsoft YaHei"/>
          <w:color w:val="666666"/>
          <w:sz w:val="21"/>
          <w:szCs w:val="21"/>
        </w:rPr>
      </w:pPr>
      <w:r>
        <w:rPr>
          <w:rFonts w:ascii="楷体_GB2312" w:eastAsia="楷体_GB2312" w:hAnsi="楷体_GB2312" w:cs="楷体_GB2312"/>
          <w:b/>
          <w:bCs/>
          <w:color w:val="666666"/>
          <w:sz w:val="32"/>
          <w:szCs w:val="32"/>
        </w:rPr>
        <w:t>第二十九条</w:t>
      </w:r>
      <w:r>
        <w:rPr>
          <w:rFonts w:ascii="楷体_GB2312" w:eastAsia="楷体_GB2312" w:hAnsi="楷体_GB2312" w:cs="楷体_GB2312"/>
          <w:b/>
          <w:bCs/>
          <w:color w:val="666666"/>
          <w:sz w:val="32"/>
          <w:szCs w:val="32"/>
        </w:rPr>
        <w:t> </w:t>
      </w:r>
      <w:r>
        <w:rPr>
          <w:rFonts w:ascii="FangSong" w:eastAsia="FangSong" w:hAnsi="FangSong" w:cs="FangSong"/>
          <w:color w:val="666666"/>
          <w:spacing w:val="15"/>
          <w:sz w:val="32"/>
          <w:szCs w:val="32"/>
        </w:rPr>
        <w:t>本章程若与国家法律、法规和有关政策相抵触，以国家法律、法规和有关政策为准；如发布虚假或误导性信息，本校愿承担相关责任。</w:t>
      </w:r>
    </w:p>
    <w:p>
      <w:pPr>
        <w:pBdr>
          <w:top w:val="none" w:sz="0" w:space="0" w:color="auto"/>
          <w:left w:val="none" w:sz="0" w:space="0" w:color="auto"/>
          <w:bottom w:val="none" w:sz="0" w:space="0" w:color="auto"/>
          <w:right w:val="none" w:sz="0" w:space="0" w:color="auto"/>
        </w:pBdr>
        <w:spacing w:before="0" w:after="0" w:line="420" w:lineRule="atLeast"/>
        <w:ind w:left="0" w:right="600" w:firstLine="645"/>
        <w:rPr>
          <w:rFonts w:ascii="Microsoft YaHei" w:eastAsia="Microsoft YaHei" w:hAnsi="Microsoft YaHei" w:cs="Microsoft YaHei"/>
          <w:color w:val="666666"/>
          <w:sz w:val="21"/>
          <w:szCs w:val="21"/>
        </w:rPr>
      </w:pPr>
      <w:r>
        <w:rPr>
          <w:rFonts w:ascii="楷体_GB2312" w:eastAsia="楷体_GB2312" w:hAnsi="楷体_GB2312" w:cs="楷体_GB2312"/>
          <w:b/>
          <w:bCs/>
          <w:color w:val="666666"/>
          <w:sz w:val="32"/>
          <w:szCs w:val="32"/>
        </w:rPr>
        <w:t>第三十条</w:t>
      </w:r>
      <w:r>
        <w:rPr>
          <w:rFonts w:ascii="Calibri" w:eastAsia="Calibri" w:hAnsi="Calibri" w:cs="Calibri"/>
          <w:color w:val="666666"/>
          <w:spacing w:val="15"/>
          <w:sz w:val="32"/>
          <w:szCs w:val="32"/>
        </w:rPr>
        <w:t> </w:t>
      </w:r>
      <w:r>
        <w:rPr>
          <w:rFonts w:ascii="FangSong" w:eastAsia="FangSong" w:hAnsi="FangSong" w:cs="FangSong"/>
          <w:color w:val="666666"/>
          <w:spacing w:val="15"/>
          <w:sz w:val="32"/>
          <w:szCs w:val="32"/>
        </w:rPr>
        <w:t>本章程由大理大学本科招生办公室负责解释。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西南林业大学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云南师范大学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昆明理工大学津桥学院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滇西应用技术大学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安徽中医药大学举办第十九届青年教师教学基本功竞赛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大理大学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云南医药健康职业学院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滇西应用技术大学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1.html" TargetMode="External" /><Relationship Id="rId11" Type="http://schemas.openxmlformats.org/officeDocument/2006/relationships/hyperlink" Target="http://www.gk114.com/a/gxzs/zszc/yunnan/2022/0609/22718.html" TargetMode="External" /><Relationship Id="rId12" Type="http://schemas.openxmlformats.org/officeDocument/2006/relationships/hyperlink" Target="http://www.gk114.com/a/gxzs/zszc/yunnan/2021/0605/19719.html" TargetMode="External" /><Relationship Id="rId13" Type="http://schemas.openxmlformats.org/officeDocument/2006/relationships/hyperlink" Target="http://www.gk114.com/a/gxzs/zszc/yunnan/2021/0603/19708.html" TargetMode="External" /><Relationship Id="rId14" Type="http://schemas.openxmlformats.org/officeDocument/2006/relationships/hyperlink" Target="http://www.gk114.com/a/gxzs/zszc/yunnan/2020/0713/17413.html" TargetMode="External" /><Relationship Id="rId15" Type="http://schemas.openxmlformats.org/officeDocument/2006/relationships/hyperlink" Target="http://www.gk114.com/a/gxzs/zszc/yunnan/2019/0611/9734.html" TargetMode="External" /><Relationship Id="rId16" Type="http://schemas.openxmlformats.org/officeDocument/2006/relationships/hyperlink" Target="http://www.gk114.com/a/gxzs/zszc/yunnan/2019/0611/9733.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698.html" TargetMode="External" /><Relationship Id="rId5" Type="http://schemas.openxmlformats.org/officeDocument/2006/relationships/hyperlink" Target="http://www.gk114.com/a/gxzs/zszc/yunnan/2019/0611/9700.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0609/22727.html" TargetMode="External" /><Relationship Id="rId8" Type="http://schemas.openxmlformats.org/officeDocument/2006/relationships/hyperlink" Target="http://www.gk114.com/a/gxzs/zszc/yunnan/2022/0609/22725.html" TargetMode="External" /><Relationship Id="rId9" Type="http://schemas.openxmlformats.org/officeDocument/2006/relationships/hyperlink" Target="http://www.gk114.com/a/gxzs/zszc/yunnan/2022/0609/2272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