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大连理工大学城市学院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 高校名称（全称）：大连理工大学城市学院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办学地点及校址：辽宁省大连市保税区广宁路1号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 办学类型：普通高等学校（独立学院)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 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 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 主要办学条件：校园占地面积 48.42 万平方米（约合 726</w:t>
      </w:r>
      <w:r>
        <w:rPr>
          <w:rFonts w:ascii="Microsoft YaHei" w:eastAsia="Microsoft YaHei" w:hAnsi="Microsoft YaHei" w:cs="Microsoft YaHei"/>
          <w:color w:val="666666"/>
          <w:sz w:val="21"/>
          <w:szCs w:val="21"/>
        </w:rPr>
        <w:t>亩）；生均教学行政用房面积 13.19 平方米；生均宿舍面积 12.93平方米；生师比 21.7；专任教师 218 人，其中具有副高级职务教师占专任教师的比例为 75.2%，具有研究生学位教师占专任教师的比例为 79.4%；教学科研仪器设备总值 5803.8 万元，生均教学科研仪器设备值 8900.2 元；图书 72 万册，生均图书 110.3 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1.根据学院办学条件，就业情况，科学确定的培养计划和招生计划。无预留计划。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2.专业语种不限，学校只设英语教学，小语种考生慎报。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3.学院所有专业无男女生比例限制。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4.学院招生计划按照省教育厅核准的分省分专业招生计划执行。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220"/>
        <w:gridCol w:w="1554"/>
        <w:gridCol w:w="3690"/>
        <w:gridCol w:w="1134"/>
        <w:gridCol w:w="1271"/>
        <w:gridCol w:w="1888"/>
        <w:gridCol w:w="1532"/>
        <w:gridCol w:w="191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代码</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专业名称</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学制</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年限</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科类</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授予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门类</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学费（元/年/生）</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计算机科学与技术</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080902</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软件工程</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080903</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网络工程</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080906</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数字媒体技术</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080601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080703</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通信工程</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080801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120102</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信息管理与信息系统</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120108</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大数据管理与应用</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工商管理</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120202</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120401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公共事业管理</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120601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管理学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081001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081201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测绘工程</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081205</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地理空间信息工程</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建筑学</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五年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4-7年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082803</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120103</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工程管理</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120105</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理工</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130503</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环境设计</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050201</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英语</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050207</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日语</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050302</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广播电视学</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25000</w:t>
            </w:r>
          </w:p>
        </w:tc>
      </w:tr>
      <w:tr>
        <w:tblPrEx>
          <w:tblW w:w="14328" w:type="dxa"/>
          <w:tblInd w:w="135" w:type="dxa"/>
          <w:tblCellMar>
            <w:top w:w="15" w:type="dxa"/>
            <w:left w:w="15" w:type="dxa"/>
            <w:bottom w:w="15" w:type="dxa"/>
            <w:right w:w="15" w:type="dxa"/>
          </w:tblCellMar>
        </w:tblPrEx>
        <w:tc>
          <w:tcPr>
            <w:tcW w:w="14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8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130508</w:t>
            </w:r>
          </w:p>
        </w:tc>
        <w:tc>
          <w:tcPr>
            <w:tcW w:w="46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w:t>
            </w:r>
          </w:p>
        </w:tc>
        <w:tc>
          <w:tcPr>
            <w:tcW w:w="13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四年</w:t>
            </w:r>
          </w:p>
        </w:tc>
        <w:tc>
          <w:tcPr>
            <w:tcW w:w="15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3-6年</w:t>
            </w:r>
          </w:p>
        </w:tc>
        <w:tc>
          <w:tcPr>
            <w:tcW w:w="23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文理兼招</w:t>
            </w:r>
          </w:p>
        </w:tc>
        <w:tc>
          <w:tcPr>
            <w:tcW w:w="1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艺术学</w:t>
            </w:r>
          </w:p>
        </w:tc>
        <w:tc>
          <w:tcPr>
            <w:tcW w:w="15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习期满，成绩合格颁发大连理工大学城市学院本科毕业证书，并加盖大连理工大学城市学院印章。大连理工大学城市学院按照国家有关规定申请取得学士学位授予资格，对符合条件的学生颁发大连理工大学城市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按照公示的标准向学生收费。计算机科学与技术、软件工程、网络工程、数字媒体技术、电气工程及其自动化、电子信息工程、通信工程、自动化、信息管理与信息系统、大数据管理与应用、工商管理、市场营销、公共事业管理、物流管理、土木工程、测绘工程、地理空间信息工程、建筑学、风景园林、工程管理、工程造价、英语、日语、广播电视学专业收取学费标准均为25000元；环境设计、数字媒体艺术专业收取学费标准均为 27500元。住宿费每人每年5500元。（学费和住宿费如有调整，以学院最终公布为准。）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学生因故退学或提前结束学业的，学院将根据学生实际学习时间，按照《辽宁省民办学校退费管理办法》（辽价发[2011]53 号）相关规定办理退费。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可以在收到入学通知书后，到家庭所在地经办银行申请国家生源地助学贷款（最高8000元/年）。持各级人民政府民政部门出具的贫困证明材料，经学院认定后，品学兼优的经济困难学生可获得国家励志奖学金（5000元/年）、国家助学金（一等4400元/年、二等2750元/年），成绩特别优秀的学生还可获得国家（省政府）奖学金（8000元/年）。学院还向家庭经济困难的学生提供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六、录取办法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学院根据各省（市、区）的生源情况确定学院调档比例,实行“平行志愿”地区，调档比例原则上控制在100%。实行“顺序志愿”地区，调档比例原则上控制在120%以内。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学院按照教育部、卫生部、中国残疾人联合会印发的《普通高等学校招生体检工作指导意见》执行。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教育部及各省有关文件精神，在已实行平行志愿投档的省份，我院实行平行志愿投档录取方式。在未实行平行志愿投档的省份，我院按院校志愿顺序调档，当我院第一志愿投档考生未能完成招生计划时，我院再依次接收第二、第三等志愿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我院艺术类专业在辽宁省艺术类本科批第一阶段实行平行志愿投档录取。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根据教育部文件精神，我院在普通类本科提档及专业录取时原则上均认可考生所在地省级招办制定的有关加（降）分政策。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专业录取时以考生投档成绩进行专业录取。实行“分数优先、遵循志愿”的录取原则，优先满足高分学生的专业志愿；专业志愿之间不设分数级差。若出现投档成绩相同的情况，理工类依次按照数学、外语、语文成绩的高低顺序进行录取；文史类依次按照语文、外语、数学成绩的高低顺序进行录取；艺术类按考生的高考文化课成绩、外语成绩、艺术类专业统考成绩的高低顺序依次录取；高考改革不分文理专业省份的考生按数学、外语、语文成绩的高低顺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艺术类考生专业统考成绩须达到高考所在省份艺术类专业统考本科合格线，高考文化课成绩达到生源省级招生考试机构划定的艺术类同科类本科专业文化成绩录取控制分数线，按考生综合成绩从高到低依次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综合成绩=文化课成绩（含高考加分）/2+专业课成绩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按照艺术类专业招生办法录取的考生，入学后不得转入其他专业学习。</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0411-62770151、62770152、62770153、62770154、62770155、62770156、</w:t>
      </w:r>
      <w:r>
        <w:rPr>
          <w:rFonts w:ascii="Microsoft YaHei" w:eastAsia="Microsoft YaHei" w:hAnsi="Microsoft YaHei" w:cs="Microsoft YaHei"/>
          <w:color w:val="666666"/>
          <w:sz w:val="21"/>
          <w:szCs w:val="21"/>
        </w:rPr>
        <w:t>18841190391、18841190392、18841190393、18841190394、18841190395、18841190396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学院网址：</w:t>
      </w:r>
      <w:r>
        <w:rPr>
          <w:rFonts w:ascii="Microsoft YaHei" w:eastAsia="Microsoft YaHei" w:hAnsi="Microsoft YaHei" w:cs="Microsoft YaHei"/>
          <w:color w:val="666666"/>
          <w:sz w:val="21"/>
          <w:szCs w:val="21"/>
        </w:rPr>
        <w:t>http://city.dlut.edu.cn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http://www.dl-city.com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辽宁机电职业技术学院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渤海船舶职业学院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328/19181.html" TargetMode="External" /><Relationship Id="rId5" Type="http://schemas.openxmlformats.org/officeDocument/2006/relationships/hyperlink" Target="http://www.gk114.com/a/gxzs/zszc/liaoning/2021/0328/19183.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