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天津中德应用技术大学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根据《中华人民共和国教育法》、《中华人民共和国高等教育法》等相关法律和教育部有关规定，结合学校实际情况，参照《天津中德应用技术大学章程》，制定本章程。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本章程是学校向社会公布有关招生政策、规定及相关信息的主要方式，是学校开展招生咨询和录取工作的主要依据。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一、学校名称：中文名称为天津中德应用技术大学，简称天津中德；英文名称为</w:t>
      </w:r>
      <w:r>
        <w:rPr>
          <w:rFonts w:ascii="Times New Roman" w:eastAsia="Times New Roman" w:hAnsi="Times New Roman" w:cs="Times New Roman"/>
        </w:rPr>
        <w:t>TianjinSino-German University of Applied Sciences</w:t>
      </w:r>
      <w:r>
        <w:rPr>
          <w:rFonts w:ascii="SimSun" w:eastAsia="SimSun" w:hAnsi="SimSun" w:cs="SimSun"/>
        </w:rPr>
        <w:t>，缩写为</w:t>
      </w:r>
      <w:r>
        <w:rPr>
          <w:rFonts w:ascii="Times New Roman" w:eastAsia="Times New Roman" w:hAnsi="Times New Roman" w:cs="Times New Roman"/>
        </w:rPr>
        <w:t>TSGUAS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二、办学类型：公办全日制应用技术类型高等学校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三、办学层次：本科、高职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四、学校代码：</w:t>
      </w:r>
      <w:r>
        <w:rPr>
          <w:rFonts w:ascii="Times New Roman" w:eastAsia="Times New Roman" w:hAnsi="Times New Roman" w:cs="Times New Roman"/>
        </w:rPr>
        <w:t xml:space="preserve">12105 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五、办学地址：天津海河教育园区雅深路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天津中德应用技术大学是教育部批准成立的国内第一所应用技术大学，学校坐落在渤海之滨的天津海河教育园区，隶属于天津市政府。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1000</w:t>
      </w:r>
      <w:r>
        <w:rPr>
          <w:rFonts w:ascii="SimSun" w:eastAsia="SimSun" w:hAnsi="SimSun" w:cs="SimSun"/>
        </w:rPr>
        <w:t>亩，建筑面积</w:t>
      </w:r>
      <w:r>
        <w:rPr>
          <w:rFonts w:ascii="Times New Roman" w:eastAsia="Times New Roman" w:hAnsi="Times New Roman" w:cs="Times New Roman"/>
        </w:rPr>
        <w:t>29.44</w:t>
      </w:r>
      <w:r>
        <w:rPr>
          <w:rFonts w:ascii="SimSun" w:eastAsia="SimSun" w:hAnsi="SimSun" w:cs="SimSun"/>
        </w:rPr>
        <w:t>万平方米，教学做一体化的实验实训场所</w:t>
      </w:r>
      <w:r>
        <w:rPr>
          <w:rFonts w:ascii="Times New Roman" w:eastAsia="Times New Roman" w:hAnsi="Times New Roman" w:cs="Times New Roman"/>
        </w:rPr>
        <w:t>259</w:t>
      </w:r>
      <w:r>
        <w:rPr>
          <w:rFonts w:ascii="SimSun" w:eastAsia="SimSun" w:hAnsi="SimSun" w:cs="SimSun"/>
        </w:rPr>
        <w:t>个，全校仪器设备两万余台套，其中大量是由德国、瑞士、西班牙引进的先进生产型设备，价值逾</w:t>
      </w:r>
      <w:r>
        <w:rPr>
          <w:rFonts w:ascii="Times New Roman" w:eastAsia="Times New Roman" w:hAnsi="Times New Roman" w:cs="Times New Roman"/>
        </w:rPr>
        <w:t>4</w:t>
      </w:r>
      <w:r>
        <w:rPr>
          <w:rFonts w:ascii="SimSun" w:eastAsia="SimSun" w:hAnsi="SimSun" w:cs="SimSun"/>
        </w:rPr>
        <w:t>亿元人民币，遵循</w:t>
      </w:r>
      <w:r>
        <w:rPr>
          <w:rFonts w:ascii="Times New Roman" w:eastAsia="Times New Roman" w:hAnsi="Times New Roman" w:cs="Times New Roman"/>
        </w:rPr>
        <w:t>“</w:t>
      </w:r>
      <w:r>
        <w:rPr>
          <w:rFonts w:ascii="SimSun" w:eastAsia="SimSun" w:hAnsi="SimSun" w:cs="SimSun"/>
        </w:rPr>
        <w:t>用最先进的设备培养最优秀的人才</w:t>
      </w:r>
      <w:r>
        <w:rPr>
          <w:rFonts w:ascii="Times New Roman" w:eastAsia="Times New Roman" w:hAnsi="Times New Roman" w:cs="Times New Roman"/>
        </w:rPr>
        <w:t>”</w:t>
      </w:r>
      <w:r>
        <w:rPr>
          <w:rFonts w:ascii="SimSun" w:eastAsia="SimSun" w:hAnsi="SimSun" w:cs="SimSun"/>
        </w:rPr>
        <w:t>实践教学的理念，打造各专业组群多层次</w:t>
      </w:r>
      <w:r>
        <w:rPr>
          <w:rFonts w:ascii="Times New Roman" w:eastAsia="Times New Roman" w:hAnsi="Times New Roman" w:cs="Times New Roman"/>
        </w:rPr>
        <w:t>“</w:t>
      </w:r>
      <w:r>
        <w:rPr>
          <w:rFonts w:ascii="SimSun" w:eastAsia="SimSun" w:hAnsi="SimSun" w:cs="SimSun"/>
        </w:rPr>
        <w:t>教学工厂</w:t>
      </w:r>
      <w:r>
        <w:rPr>
          <w:rFonts w:ascii="Times New Roman" w:eastAsia="Times New Roman" w:hAnsi="Times New Roman" w:cs="Times New Roman"/>
        </w:rPr>
        <w:t>”</w:t>
      </w:r>
      <w:r>
        <w:rPr>
          <w:rFonts w:ascii="SimSun" w:eastAsia="SimSun" w:hAnsi="SimSun" w:cs="SimSun"/>
        </w:rPr>
        <w:t>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学校本科、高职和技工学历教育涵盖先进制造技术、自动化技术、航空航天技术与服务、交通技术与服务、软件与通信技术、新能源、经贸管理、文化创意与技术、应用语言等</w:t>
      </w:r>
      <w:r>
        <w:rPr>
          <w:rFonts w:ascii="Times New Roman" w:eastAsia="Times New Roman" w:hAnsi="Times New Roman" w:cs="Times New Roman"/>
        </w:rPr>
        <w:t>9</w:t>
      </w:r>
      <w:r>
        <w:rPr>
          <w:rFonts w:ascii="SimSun" w:eastAsia="SimSun" w:hAnsi="SimSun" w:cs="SimSun"/>
        </w:rPr>
        <w:t>大专业组群，现有本科专业</w:t>
      </w:r>
      <w:r>
        <w:rPr>
          <w:rFonts w:ascii="Times New Roman" w:eastAsia="Times New Roman" w:hAnsi="Times New Roman" w:cs="Times New Roman"/>
        </w:rPr>
        <w:t>17</w:t>
      </w:r>
      <w:r>
        <w:rPr>
          <w:rFonts w:ascii="SimSun" w:eastAsia="SimSun" w:hAnsi="SimSun" w:cs="SimSun"/>
        </w:rPr>
        <w:t>个，高职专业</w:t>
      </w:r>
      <w:r>
        <w:rPr>
          <w:rFonts w:ascii="Times New Roman" w:eastAsia="Times New Roman" w:hAnsi="Times New Roman" w:cs="Times New Roman"/>
        </w:rPr>
        <w:t>32</w:t>
      </w:r>
      <w:r>
        <w:rPr>
          <w:rFonts w:ascii="SimSun" w:eastAsia="SimSun" w:hAnsi="SimSun" w:cs="SimSun"/>
        </w:rPr>
        <w:t>个、中职专业</w:t>
      </w:r>
      <w:r>
        <w:rPr>
          <w:rFonts w:ascii="Times New Roman" w:eastAsia="Times New Roman" w:hAnsi="Times New Roman" w:cs="Times New Roman"/>
        </w:rPr>
        <w:t>1</w:t>
      </w:r>
      <w:r>
        <w:rPr>
          <w:rFonts w:ascii="SimSun" w:eastAsia="SimSun" w:hAnsi="SimSun" w:cs="SimSun"/>
        </w:rPr>
        <w:t>个。现有在校生</w:t>
      </w:r>
      <w:r>
        <w:rPr>
          <w:rFonts w:ascii="Times New Roman" w:eastAsia="Times New Roman" w:hAnsi="Times New Roman" w:cs="Times New Roman"/>
        </w:rPr>
        <w:t>1</w:t>
      </w:r>
      <w:r>
        <w:rPr>
          <w:rFonts w:ascii="SimSun" w:eastAsia="SimSun" w:hAnsi="SimSun" w:cs="SimSun"/>
        </w:rPr>
        <w:t>万余人，毕业生就业率连续多年超过</w:t>
      </w:r>
      <w:r>
        <w:rPr>
          <w:rFonts w:ascii="Times New Roman" w:eastAsia="Times New Roman" w:hAnsi="Times New Roman" w:cs="Times New Roman"/>
        </w:rPr>
        <w:t>98.5%</w:t>
      </w:r>
      <w:r>
        <w:rPr>
          <w:rFonts w:ascii="SimSun" w:eastAsia="SimSun" w:hAnsi="SimSun" w:cs="SimSun"/>
        </w:rPr>
        <w:t>，非学历教育培训规模年均超过</w:t>
      </w:r>
      <w:r>
        <w:rPr>
          <w:rFonts w:ascii="Times New Roman" w:eastAsia="Times New Roman" w:hAnsi="Times New Roman" w:cs="Times New Roman"/>
        </w:rPr>
        <w:t>2</w:t>
      </w:r>
      <w:r>
        <w:rPr>
          <w:rFonts w:ascii="SimSun" w:eastAsia="SimSun" w:hAnsi="SimSun" w:cs="SimSun"/>
        </w:rPr>
        <w:t>万人次。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崇实求精</w:t>
      </w:r>
      <w:r>
        <w:rPr>
          <w:rFonts w:ascii="Times New Roman" w:eastAsia="Times New Roman" w:hAnsi="Times New Roman" w:cs="Times New Roman"/>
        </w:rPr>
        <w:t xml:space="preserve"> </w:t>
      </w:r>
      <w:r>
        <w:rPr>
          <w:rFonts w:ascii="SimSun" w:eastAsia="SimSun" w:hAnsi="SimSun" w:cs="SimSun"/>
        </w:rPr>
        <w:t>致良知</w:t>
      </w:r>
      <w:r>
        <w:rPr>
          <w:rFonts w:ascii="Times New Roman" w:eastAsia="Times New Roman" w:hAnsi="Times New Roman" w:cs="Times New Roman"/>
        </w:rPr>
        <w:t>”</w:t>
      </w:r>
      <w:r>
        <w:rPr>
          <w:rFonts w:ascii="SimSun" w:eastAsia="SimSun" w:hAnsi="SimSun" w:cs="SimSun"/>
        </w:rPr>
        <w:t>的校训和</w:t>
      </w:r>
      <w:r>
        <w:rPr>
          <w:rFonts w:ascii="Times New Roman" w:eastAsia="Times New Roman" w:hAnsi="Times New Roman" w:cs="Times New Roman"/>
        </w:rPr>
        <w:t>“</w:t>
      </w:r>
      <w:r>
        <w:rPr>
          <w:rFonts w:ascii="SimSun" w:eastAsia="SimSun" w:hAnsi="SimSun" w:cs="SimSun"/>
        </w:rPr>
        <w:t>海纳百川</w:t>
      </w:r>
      <w:r>
        <w:rPr>
          <w:rFonts w:ascii="Times New Roman" w:eastAsia="Times New Roman" w:hAnsi="Times New Roman" w:cs="Times New Roman"/>
        </w:rPr>
        <w:t xml:space="preserve"> </w:t>
      </w:r>
      <w:r>
        <w:rPr>
          <w:rFonts w:ascii="SimSun" w:eastAsia="SimSun" w:hAnsi="SimSun" w:cs="SimSun"/>
        </w:rPr>
        <w:t>敬业乐群</w:t>
      </w:r>
      <w:r>
        <w:rPr>
          <w:rFonts w:ascii="Times New Roman" w:eastAsia="Times New Roman" w:hAnsi="Times New Roman" w:cs="Times New Roman"/>
        </w:rPr>
        <w:t>”</w:t>
      </w:r>
      <w:r>
        <w:rPr>
          <w:rFonts w:ascii="SimSun" w:eastAsia="SimSun" w:hAnsi="SimSun" w:cs="SimSun"/>
        </w:rPr>
        <w:t>的中德精神，始终坚持聚焦工业发展需求，传承</w:t>
      </w:r>
      <w:r>
        <w:rPr>
          <w:rFonts w:ascii="Times New Roman" w:eastAsia="Times New Roman" w:hAnsi="Times New Roman" w:cs="Times New Roman"/>
        </w:rPr>
        <w:t>“</w:t>
      </w:r>
      <w:r>
        <w:rPr>
          <w:rFonts w:ascii="SimSun" w:eastAsia="SimSun" w:hAnsi="SimSun" w:cs="SimSun"/>
        </w:rPr>
        <w:t>科学严谨、精益求精、追求卓越</w:t>
      </w:r>
      <w:r>
        <w:rPr>
          <w:rFonts w:ascii="Times New Roman" w:eastAsia="Times New Roman" w:hAnsi="Times New Roman" w:cs="Times New Roman"/>
        </w:rPr>
        <w:t>”</w:t>
      </w:r>
      <w:r>
        <w:rPr>
          <w:rFonts w:ascii="SimSun" w:eastAsia="SimSun" w:hAnsi="SimSun" w:cs="SimSun"/>
        </w:rPr>
        <w:t>的工匠精神，致力于培养</w:t>
      </w:r>
      <w:r>
        <w:rPr>
          <w:rFonts w:ascii="Times New Roman" w:eastAsia="Times New Roman" w:hAnsi="Times New Roman" w:cs="Times New Roman"/>
        </w:rPr>
        <w:t>“</w:t>
      </w:r>
      <w:r>
        <w:rPr>
          <w:rFonts w:ascii="SimSun" w:eastAsia="SimSun" w:hAnsi="SimSun" w:cs="SimSun"/>
        </w:rPr>
        <w:t>政治过硬、技能精湛、诚实守信、理性平和</w:t>
      </w:r>
      <w:r>
        <w:rPr>
          <w:rFonts w:ascii="Times New Roman" w:eastAsia="Times New Roman" w:hAnsi="Times New Roman" w:cs="Times New Roman"/>
        </w:rPr>
        <w:t>”</w:t>
      </w:r>
      <w:r>
        <w:rPr>
          <w:rFonts w:ascii="SimSun" w:eastAsia="SimSun" w:hAnsi="SimSun" w:cs="SimSun"/>
        </w:rPr>
        <w:t>的高级技师、一线工程师、大国工匠。</w:t>
      </w:r>
      <w:r>
        <w:rPr>
          <w:rFonts w:ascii="Times New Roman" w:eastAsia="Times New Roman" w:hAnsi="Times New Roman" w:cs="Times New Roman"/>
        </w:rPr>
        <w:t>2017</w:t>
      </w:r>
      <w:r>
        <w:rPr>
          <w:rFonts w:ascii="SimSun" w:eastAsia="SimSun" w:hAnsi="SimSun" w:cs="SimSun"/>
        </w:rPr>
        <w:t>年，学校获批首届天津市文明校园，</w:t>
      </w:r>
      <w:r>
        <w:rPr>
          <w:rFonts w:ascii="Times New Roman" w:eastAsia="Times New Roman" w:hAnsi="Times New Roman" w:cs="Times New Roman"/>
        </w:rPr>
        <w:t>“</w:t>
      </w:r>
      <w:r>
        <w:rPr>
          <w:rFonts w:ascii="SimSun" w:eastAsia="SimSun" w:hAnsi="SimSun" w:cs="SimSun"/>
        </w:rPr>
        <w:t>天津市</w:t>
      </w:r>
      <w:r>
        <w:rPr>
          <w:rFonts w:ascii="Times New Roman" w:eastAsia="Times New Roman" w:hAnsi="Times New Roman" w:cs="Times New Roman"/>
        </w:rPr>
        <w:t>2017-2020</w:t>
      </w:r>
      <w:r>
        <w:rPr>
          <w:rFonts w:ascii="SimSun" w:eastAsia="SimSun" w:hAnsi="SimSun" w:cs="SimSun"/>
        </w:rPr>
        <w:t>年硕士学位授予单位立项建设高校</w:t>
      </w:r>
      <w:r>
        <w:rPr>
          <w:rFonts w:ascii="Times New Roman" w:eastAsia="Times New Roman" w:hAnsi="Times New Roman" w:cs="Times New Roman"/>
        </w:rPr>
        <w:t>”</w:t>
      </w:r>
      <w:r>
        <w:rPr>
          <w:rFonts w:ascii="SimSun" w:eastAsia="SimSun" w:hAnsi="SimSun" w:cs="SimSun"/>
        </w:rPr>
        <w:t>，被市政府确定为世界一流应用技术大学建设单位，明确建设目标</w:t>
      </w:r>
      <w:r>
        <w:rPr>
          <w:rFonts w:ascii="Times New Roman" w:eastAsia="Times New Roman" w:hAnsi="Times New Roman" w:cs="Times New Roman"/>
        </w:rPr>
        <w:t>“</w:t>
      </w:r>
      <w:r>
        <w:rPr>
          <w:rFonts w:ascii="SimSun" w:eastAsia="SimSun" w:hAnsi="SimSun" w:cs="SimSun"/>
        </w:rPr>
        <w:t>到</w:t>
      </w:r>
      <w:r>
        <w:rPr>
          <w:rFonts w:ascii="Times New Roman" w:eastAsia="Times New Roman" w:hAnsi="Times New Roman" w:cs="Times New Roman"/>
        </w:rPr>
        <w:t>2020</w:t>
      </w:r>
      <w:r>
        <w:rPr>
          <w:rFonts w:ascii="SimSun" w:eastAsia="SimSun" w:hAnsi="SimSun" w:cs="SimSun"/>
        </w:rPr>
        <w:t>年，整体实力显著提升，力争成为达到世界先进水平的应用技术大学；到</w:t>
      </w:r>
      <w:r>
        <w:rPr>
          <w:rFonts w:ascii="Times New Roman" w:eastAsia="Times New Roman" w:hAnsi="Times New Roman" w:cs="Times New Roman"/>
        </w:rPr>
        <w:t>2030</w:t>
      </w:r>
      <w:r>
        <w:rPr>
          <w:rFonts w:ascii="SimSun" w:eastAsia="SimSun" w:hAnsi="SimSun" w:cs="SimSun"/>
        </w:rPr>
        <w:t>年，力争成为世界一流应用技术大学。</w:t>
      </w:r>
      <w:r>
        <w:rPr>
          <w:rFonts w:ascii="Times New Roman" w:eastAsia="Times New Roman" w:hAnsi="Times New Roman" w:cs="Times New Roman"/>
        </w:rPr>
        <w:t>”</w:t>
      </w:r>
      <w:r>
        <w:rPr>
          <w:rFonts w:ascii="SimSun" w:eastAsia="SimSun" w:hAnsi="SimSun" w:cs="SimSun"/>
        </w:rPr>
        <w:t>当前，学校正肩负着</w:t>
      </w:r>
      <w:r>
        <w:rPr>
          <w:rFonts w:ascii="Times New Roman" w:eastAsia="Times New Roman" w:hAnsi="Times New Roman" w:cs="Times New Roman"/>
        </w:rPr>
        <w:t>“</w:t>
      </w:r>
      <w:r>
        <w:rPr>
          <w:rFonts w:ascii="SimSun" w:eastAsia="SimSun" w:hAnsi="SimSun" w:cs="SimSun"/>
        </w:rPr>
        <w:t>为国家试制度、为地方谋发展</w:t>
      </w:r>
      <w:r>
        <w:rPr>
          <w:rFonts w:ascii="Times New Roman" w:eastAsia="Times New Roman" w:hAnsi="Times New Roman" w:cs="Times New Roman"/>
        </w:rPr>
        <w:t>”</w:t>
      </w:r>
      <w:r>
        <w:rPr>
          <w:rFonts w:ascii="SimSun" w:eastAsia="SimSun" w:hAnsi="SimSun" w:cs="SimSun"/>
        </w:rPr>
        <w:t>的重要使命，积极探索构建现代职业教育体系，全力推进世界一流应用技术大学建设。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学校设招生委员会，全面负责学校的招生工作，制定招生政策、招生计划，决定有关招生工作的重大事宜。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学校招生委员会设招生办公室，是组织和实施招生工作的常设机构，负责招生的日常工作。纪检监察室对招生工作全过程进行监督，维护广大考生和学校的合法权益，确保招生工作公平、公正。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学校根据发展规划、办学条件、专业特点、生源状况和社会需求制定了</w:t>
      </w:r>
      <w:r>
        <w:rPr>
          <w:rFonts w:ascii="Times New Roman" w:eastAsia="Times New Roman" w:hAnsi="Times New Roman" w:cs="Times New Roman"/>
        </w:rPr>
        <w:t>2019</w:t>
      </w:r>
      <w:r>
        <w:rPr>
          <w:rFonts w:ascii="SimSun" w:eastAsia="SimSun" w:hAnsi="SimSun" w:cs="SimSun"/>
        </w:rPr>
        <w:t>年面向全国各省、自治区、直辖市的分专业招生计划。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收费标准：学校执行国家有关规定。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本科：文科类每生每学年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元；设计学类每生每学年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高职：高职一般专业每生每学年</w:t>
      </w:r>
      <w:r>
        <w:rPr>
          <w:rFonts w:ascii="Times New Roman" w:eastAsia="Times New Roman" w:hAnsi="Times New Roman" w:cs="Times New Roman"/>
        </w:rPr>
        <w:t>5000</w:t>
      </w:r>
      <w:r>
        <w:rPr>
          <w:rFonts w:ascii="SimSun" w:eastAsia="SimSun" w:hAnsi="SimSun" w:cs="SimSun"/>
        </w:rPr>
        <w:t>元，高职特殊专业每生每学年</w:t>
      </w:r>
      <w:r>
        <w:rPr>
          <w:rFonts w:ascii="Times New Roman" w:eastAsia="Times New Roman" w:hAnsi="Times New Roman" w:cs="Times New Roman"/>
        </w:rPr>
        <w:t>5500</w:t>
      </w:r>
      <w:r>
        <w:rPr>
          <w:rFonts w:ascii="SimSun" w:eastAsia="SimSun" w:hAnsi="SimSun" w:cs="SimSun"/>
        </w:rPr>
        <w:t>元；高职艺术类专业每生每学年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机械设计制造类（中外合作办学）（数控技术）、（数控设备与维修）（模具设计与制造）三个专业、每生每学年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住宿费：为</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自治区、直辖市招生委员会制定的录取政策、以及本章程公布的有关规定；以考生填报的志愿和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学校在同一科类、相应批次的省录取控制分数线上，对实行平行志愿的省份按各省平行志愿投档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联合培养录取学生按照学校与学生签订协议执行。中外合作办学与普通类专业符合条件的可以相互调剂。对内蒙古自治区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对政策加分考生的录取，严格按照教育部规定的原则执行。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外语、语文、数学；理工类依次比较数学、外语、语文单科分数，较高者优先（如考生省份有相关规定，执行该省份要求）。我校应用语言类及旅游管理专业在同等分数情况下，录取英语成绩优秀的考生。天津市考生执行本章程第十四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文化课中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以下简称《指导意见》）及教育部办公厅、卫生部办公厅《关于普通高等学校招生学生入学身体检查取消乙肝项目检测有关问题的通知》要求，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学校空中乘务专业具体招生计划、报考条件及录取实施办法，详见我校在相关省市招生简章或登陆天津中德应用技术大学招生信息网查询。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注册学籍后，依据《天津中德应用技术大学学生日常行为规范》、《天津中德应用技术大学高职学生学籍管理规定》、《天津中德应用技术大学本科学生学籍管理规定（试行）》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学校为家庭经济困难学生设有助学贷款、国家助学金、勤工助学、特困补助等政策，形成了</w:t>
      </w:r>
      <w:r>
        <w:rPr>
          <w:rFonts w:ascii="Times New Roman" w:eastAsia="Times New Roman" w:hAnsi="Times New Roman" w:cs="Times New Roman"/>
        </w:rPr>
        <w:t>“</w:t>
      </w:r>
      <w:r>
        <w:rPr>
          <w:rFonts w:ascii="SimSun" w:eastAsia="SimSun" w:hAnsi="SimSun" w:cs="SimSun"/>
        </w:rPr>
        <w:t>奖、勤、助、贷、补、减、免</w:t>
      </w:r>
      <w:r>
        <w:rPr>
          <w:rFonts w:ascii="Times New Roman" w:eastAsia="Times New Roman" w:hAnsi="Times New Roman" w:cs="Times New Roman"/>
        </w:rPr>
        <w:t>”</w:t>
      </w:r>
      <w:r>
        <w:rPr>
          <w:rFonts w:ascii="SimSun" w:eastAsia="SimSun" w:hAnsi="SimSun" w:cs="SimSun"/>
        </w:rPr>
        <w:t>七位一体的学生奖助体系。设立国家奖学金、国家励志奖学金、市政府奖学金、校长奖学金、专项奖学金，每年不少于</w:t>
      </w:r>
      <w:r>
        <w:rPr>
          <w:rFonts w:ascii="Times New Roman" w:eastAsia="Times New Roman" w:hAnsi="Times New Roman" w:cs="Times New Roman"/>
        </w:rPr>
        <w:t>120</w:t>
      </w:r>
      <w:r>
        <w:rPr>
          <w:rFonts w:ascii="SimSun" w:eastAsia="SimSun" w:hAnsi="SimSun" w:cs="SimSun"/>
        </w:rPr>
        <w:t>万元经费用于校内各类奖助学金，覆盖面达到</w:t>
      </w:r>
      <w:r>
        <w:rPr>
          <w:rFonts w:ascii="Times New Roman" w:eastAsia="Times New Roman" w:hAnsi="Times New Roman" w:cs="Times New Roman"/>
        </w:rPr>
        <w:t>40%</w:t>
      </w:r>
      <w:r>
        <w:rPr>
          <w:rFonts w:ascii="SimSun" w:eastAsia="SimSun" w:hAnsi="SimSun" w:cs="SimSun"/>
        </w:rPr>
        <w:t>以上。同时，学校吸引社会、企业和个人捐资，设立多项社会奖助学金，每年奖励金额近百万元。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生修满所学专业要求的总学分（含社会实践、第二课堂学分），达到《天津中德应用技术大学本科学生学籍管理规定（试行）》规定要求者颁发天津中德应用技术大学全日制普通高等学校本科毕业证书；符合学校学位授予有关规定者，颁发普通高等教育本科毕业生学士学位证书。高职升本科毕业生在毕业证书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高职学生完成规定学业，经审查达到毕业标准的颁发天津中德应用技术大学全日制普通高等学校专科毕业证书。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年天津中德应用技术大学招生工作。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在招生咨询过程中，咨询人员的个人意见、建议仅作为考生填报志愿的参考，不属学校录取承诺。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022--28776099</w:t>
      </w:r>
      <w:r>
        <w:rPr>
          <w:rFonts w:ascii="SimSun" w:eastAsia="SimSun" w:hAnsi="SimSun" w:cs="SimSun"/>
        </w:rPr>
        <w:t>、</w:t>
      </w:r>
      <w:r>
        <w:rPr>
          <w:rFonts w:ascii="Times New Roman" w:eastAsia="Times New Roman" w:hAnsi="Times New Roman" w:cs="Times New Roman"/>
        </w:rPr>
        <w:t>28776716</w:t>
      </w:r>
      <w:r>
        <w:rPr>
          <w:rFonts w:ascii="SimSun" w:eastAsia="SimSun" w:hAnsi="SimSun" w:cs="SimSun"/>
        </w:rPr>
        <w:t>、</w:t>
      </w:r>
      <w:r>
        <w:rPr>
          <w:rFonts w:ascii="Times New Roman" w:eastAsia="Times New Roman" w:hAnsi="Times New Roman" w:cs="Times New Roman"/>
        </w:rPr>
        <w:t xml:space="preserve">28776655 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022--28776655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022--28771113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监督邮箱：</w:t>
      </w:r>
      <w:r>
        <w:rPr>
          <w:rFonts w:ascii="Times New Roman" w:eastAsia="Times New Roman" w:hAnsi="Times New Roman" w:cs="Times New Roman"/>
        </w:rPr>
        <w:t xml:space="preserve">zdjjjcs@126.com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本章程由天津中德应用技术大学招生委员会负责解释。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1.html" TargetMode="External" /><Relationship Id="rId5" Type="http://schemas.openxmlformats.org/officeDocument/2006/relationships/hyperlink" Target="http://www.gk114.com/a/gxzs/zszc/tianjin/2019/0610/961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