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天津中德应用技术大学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根据《中华人民共和国教育法》、《中华人民共和国高等教育法》等相关法律和教育部有关规定，结合学校实际情况，参照《天津中德应用技术大学章程》，制定本章程。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本章程是学校向社会公布有关招生政策、规定及相关信息的主要方式，是学校开展招生咨询和录取工作的主要依据。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本章程经学校审查通过，并报上级主管部门依据国家法律和招生政策审核。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学校名称：中文名称为天津中德应用技术大学，简称天津中德；英文名称为</w:t>
      </w:r>
      <w:r>
        <w:rPr>
          <w:rFonts w:ascii="Times New Roman" w:eastAsia="Times New Roman" w:hAnsi="Times New Roman" w:cs="Times New Roman"/>
        </w:rPr>
        <w:t>TianjinSino-German University of Applied Sciences</w:t>
      </w:r>
      <w:r>
        <w:rPr>
          <w:rFonts w:ascii="SimSun" w:eastAsia="SimSun" w:hAnsi="SimSun" w:cs="SimSun"/>
        </w:rPr>
        <w:t>，缩写为</w:t>
      </w:r>
      <w:r>
        <w:rPr>
          <w:rFonts w:ascii="Times New Roman" w:eastAsia="Times New Roman" w:hAnsi="Times New Roman" w:cs="Times New Roman"/>
        </w:rPr>
        <w:t>TSGUAS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办学类型：公办全日制应用技术类型普通高校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办学地址：天津海河教育园区雅深路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天津中德应用技术大学是教育部批准成立的国内第一所应用技术大学，学校坐落在渤海之滨的天津海河教育园区，隶属于天津市人民政府。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1000</w:t>
      </w:r>
      <w:r>
        <w:rPr>
          <w:rFonts w:ascii="SimSun" w:eastAsia="SimSun" w:hAnsi="SimSun" w:cs="SimSun"/>
        </w:rPr>
        <w:t>亩，建筑面积</w:t>
      </w:r>
      <w:r>
        <w:rPr>
          <w:rFonts w:ascii="Times New Roman" w:eastAsia="Times New Roman" w:hAnsi="Times New Roman" w:cs="Times New Roman"/>
        </w:rPr>
        <w:t>29.73</w:t>
      </w:r>
      <w:r>
        <w:rPr>
          <w:rFonts w:ascii="SimSun" w:eastAsia="SimSun" w:hAnsi="SimSun" w:cs="SimSun"/>
        </w:rPr>
        <w:t>万平方米，教学做一体化的实验实训场所</w:t>
      </w:r>
      <w:r>
        <w:rPr>
          <w:rFonts w:ascii="Times New Roman" w:eastAsia="Times New Roman" w:hAnsi="Times New Roman" w:cs="Times New Roman"/>
        </w:rPr>
        <w:t>365</w:t>
      </w:r>
      <w:r>
        <w:rPr>
          <w:rFonts w:ascii="SimSun" w:eastAsia="SimSun" w:hAnsi="SimSun" w:cs="SimSun"/>
        </w:rPr>
        <w:t>个，全校教学科研仪器设备两万余台套、价值逾</w:t>
      </w:r>
      <w:r>
        <w:rPr>
          <w:rFonts w:ascii="Times New Roman" w:eastAsia="Times New Roman" w:hAnsi="Times New Roman" w:cs="Times New Roman"/>
        </w:rPr>
        <w:t>5</w:t>
      </w:r>
      <w:r>
        <w:rPr>
          <w:rFonts w:ascii="SimSun" w:eastAsia="SimSun" w:hAnsi="SimSun" w:cs="SimSun"/>
        </w:rPr>
        <w:t>亿元人民币，遵循</w:t>
      </w:r>
      <w:r>
        <w:rPr>
          <w:rFonts w:ascii="Times New Roman" w:eastAsia="Times New Roman" w:hAnsi="Times New Roman" w:cs="Times New Roman"/>
        </w:rPr>
        <w:t>“</w:t>
      </w:r>
      <w:r>
        <w:rPr>
          <w:rFonts w:ascii="SimSun" w:eastAsia="SimSun" w:hAnsi="SimSun" w:cs="SimSun"/>
        </w:rPr>
        <w:t>用高端装备、先进技术培养最优秀的人才</w:t>
      </w:r>
      <w:r>
        <w:rPr>
          <w:rFonts w:ascii="Times New Roman" w:eastAsia="Times New Roman" w:hAnsi="Times New Roman" w:cs="Times New Roman"/>
        </w:rPr>
        <w:t>”</w:t>
      </w:r>
      <w:r>
        <w:rPr>
          <w:rFonts w:ascii="SimSun" w:eastAsia="SimSun" w:hAnsi="SimSun" w:cs="SimSun"/>
        </w:rPr>
        <w:t>实践教学的理念，培养应用型技术技能型人才。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学校本科、</w:t>
      </w:r>
      <w:r>
        <w:rPr>
          <w:rFonts w:ascii="Times New Roman" w:eastAsia="Times New Roman" w:hAnsi="Times New Roman" w:cs="Times New Roman"/>
        </w:rPr>
        <w:t xml:space="preserve"> </w:t>
      </w:r>
      <w:r>
        <w:rPr>
          <w:rFonts w:ascii="SimSun" w:eastAsia="SimSun" w:hAnsi="SimSun" w:cs="SimSun"/>
        </w:rPr>
        <w:t>高职学历教育涵盖先进制造技术、自动化技术、航空航天技术与服务、交通技术与服务、软件与通信技术、新能源、经贸管理、文化创意与技术、应用语言等</w:t>
      </w:r>
      <w:r>
        <w:rPr>
          <w:rFonts w:ascii="Times New Roman" w:eastAsia="Times New Roman" w:hAnsi="Times New Roman" w:cs="Times New Roman"/>
        </w:rPr>
        <w:t xml:space="preserve"> 9 </w:t>
      </w:r>
      <w:r>
        <w:rPr>
          <w:rFonts w:ascii="SimSun" w:eastAsia="SimSun" w:hAnsi="SimSun" w:cs="SimSun"/>
        </w:rPr>
        <w:t>大应用型学科专业组群，现有本科专业</w:t>
      </w:r>
      <w:r>
        <w:rPr>
          <w:rFonts w:ascii="Times New Roman" w:eastAsia="Times New Roman" w:hAnsi="Times New Roman" w:cs="Times New Roman"/>
        </w:rPr>
        <w:t xml:space="preserve"> 22 </w:t>
      </w:r>
      <w:r>
        <w:rPr>
          <w:rFonts w:ascii="SimSun" w:eastAsia="SimSun" w:hAnsi="SimSun" w:cs="SimSun"/>
        </w:rPr>
        <w:t>个，高职专业</w:t>
      </w:r>
      <w:r>
        <w:rPr>
          <w:rFonts w:ascii="Times New Roman" w:eastAsia="Times New Roman" w:hAnsi="Times New Roman" w:cs="Times New Roman"/>
        </w:rPr>
        <w:t xml:space="preserve"> 18</w:t>
      </w:r>
      <w:r>
        <w:rPr>
          <w:rFonts w:ascii="SimSun" w:eastAsia="SimSun" w:hAnsi="SimSun" w:cs="SimSun"/>
        </w:rPr>
        <w:t>个，形成以工学为主，管理学、艺术学协调发展的专业布局，被市政府确定为世界一流应用技术大学建设单位。现有在校生约</w:t>
      </w:r>
      <w:r>
        <w:rPr>
          <w:rFonts w:ascii="Times New Roman" w:eastAsia="Times New Roman" w:hAnsi="Times New Roman" w:cs="Times New Roman"/>
        </w:rPr>
        <w:t xml:space="preserve"> 1.3</w:t>
      </w:r>
      <w:r>
        <w:rPr>
          <w:rFonts w:ascii="SimSun" w:eastAsia="SimSun" w:hAnsi="SimSun" w:cs="SimSun"/>
        </w:rPr>
        <w:t>万余人，毕业生就业率连续多年位于本市高校前列，非学历教育培训规模近三年累计</w:t>
      </w:r>
      <w:r>
        <w:rPr>
          <w:rFonts w:ascii="Times New Roman" w:eastAsia="Times New Roman" w:hAnsi="Times New Roman" w:cs="Times New Roman"/>
        </w:rPr>
        <w:t xml:space="preserve"> 8.5 </w:t>
      </w:r>
      <w:r>
        <w:rPr>
          <w:rFonts w:ascii="SimSun" w:eastAsia="SimSun" w:hAnsi="SimSun" w:cs="SimSun"/>
        </w:rPr>
        <w:t>万人次。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学校现拥有天津市工程技术中心、天津市工程研究中心、天津市科普基地等省部级科研平台</w:t>
      </w:r>
      <w:r>
        <w:rPr>
          <w:rFonts w:ascii="Times New Roman" w:eastAsia="Times New Roman" w:hAnsi="Times New Roman" w:cs="Times New Roman"/>
        </w:rPr>
        <w:t>5</w:t>
      </w:r>
      <w:r>
        <w:rPr>
          <w:rFonts w:ascii="SimSun" w:eastAsia="SimSun" w:hAnsi="SimSun" w:cs="SimSun"/>
        </w:rPr>
        <w:t>个，天津市企业重点实验室等科研平台</w:t>
      </w:r>
      <w:r>
        <w:rPr>
          <w:rFonts w:ascii="Times New Roman" w:eastAsia="Times New Roman" w:hAnsi="Times New Roman" w:cs="Times New Roman"/>
        </w:rPr>
        <w:t>15</w:t>
      </w:r>
      <w:r>
        <w:rPr>
          <w:rFonts w:ascii="SimSun" w:eastAsia="SimSun" w:hAnsi="SimSun" w:cs="SimSun"/>
        </w:rPr>
        <w:t>个，拥有国家级教学团队</w:t>
      </w:r>
      <w:r>
        <w:rPr>
          <w:rFonts w:ascii="Times New Roman" w:eastAsia="Times New Roman" w:hAnsi="Times New Roman" w:cs="Times New Roman"/>
        </w:rPr>
        <w:t>2</w:t>
      </w:r>
      <w:r>
        <w:rPr>
          <w:rFonts w:ascii="SimSun" w:eastAsia="SimSun" w:hAnsi="SimSun" w:cs="SimSun"/>
        </w:rPr>
        <w:t>个，天津市高校创新团队</w:t>
      </w:r>
      <w:r>
        <w:rPr>
          <w:rFonts w:ascii="Times New Roman" w:eastAsia="Times New Roman" w:hAnsi="Times New Roman" w:cs="Times New Roman"/>
        </w:rPr>
        <w:t>2</w:t>
      </w:r>
      <w:r>
        <w:rPr>
          <w:rFonts w:ascii="SimSun" w:eastAsia="SimSun" w:hAnsi="SimSun" w:cs="SimSun"/>
        </w:rPr>
        <w:t>个。近年来共承担国家级科研项目</w:t>
      </w:r>
      <w:r>
        <w:rPr>
          <w:rFonts w:ascii="Times New Roman" w:eastAsia="Times New Roman" w:hAnsi="Times New Roman" w:cs="Times New Roman"/>
        </w:rPr>
        <w:t>12</w:t>
      </w:r>
      <w:r>
        <w:rPr>
          <w:rFonts w:ascii="SimSun" w:eastAsia="SimSun" w:hAnsi="SimSun" w:cs="SimSun"/>
        </w:rPr>
        <w:t>项、省部级科研项目</w:t>
      </w:r>
      <w:r>
        <w:rPr>
          <w:rFonts w:ascii="Times New Roman" w:eastAsia="Times New Roman" w:hAnsi="Times New Roman" w:cs="Times New Roman"/>
        </w:rPr>
        <w:t>207</w:t>
      </w:r>
      <w:r>
        <w:rPr>
          <w:rFonts w:ascii="SimSun" w:eastAsia="SimSun" w:hAnsi="SimSun" w:cs="SimSun"/>
        </w:rPr>
        <w:t>项，获得省部级科技奖励</w:t>
      </w:r>
      <w:r>
        <w:rPr>
          <w:rFonts w:ascii="Times New Roman" w:eastAsia="Times New Roman" w:hAnsi="Times New Roman" w:cs="Times New Roman"/>
        </w:rPr>
        <w:t>15</w:t>
      </w:r>
      <w:r>
        <w:rPr>
          <w:rFonts w:ascii="SimSun" w:eastAsia="SimSun" w:hAnsi="SimSun" w:cs="SimSun"/>
        </w:rPr>
        <w:t>项，</w:t>
      </w:r>
      <w:r>
        <w:rPr>
          <w:rFonts w:ascii="Times New Roman" w:eastAsia="Times New Roman" w:hAnsi="Times New Roman" w:cs="Times New Roman"/>
        </w:rPr>
        <w:t>2017-2021</w:t>
      </w:r>
      <w:r>
        <w:rPr>
          <w:rFonts w:ascii="SimSun" w:eastAsia="SimSun" w:hAnsi="SimSun" w:cs="SimSun"/>
        </w:rPr>
        <w:t>年派出科技特派员服务企业</w:t>
      </w:r>
      <w:r>
        <w:rPr>
          <w:rFonts w:ascii="Times New Roman" w:eastAsia="Times New Roman" w:hAnsi="Times New Roman" w:cs="Times New Roman"/>
        </w:rPr>
        <w:t>448</w:t>
      </w:r>
      <w:r>
        <w:rPr>
          <w:rFonts w:ascii="SimSun" w:eastAsia="SimSun" w:hAnsi="SimSun" w:cs="SimSun"/>
        </w:rPr>
        <w:t>人次，获得资助经费数连续</w:t>
      </w:r>
      <w:r>
        <w:rPr>
          <w:rFonts w:ascii="Times New Roman" w:eastAsia="Times New Roman" w:hAnsi="Times New Roman" w:cs="Times New Roman"/>
        </w:rPr>
        <w:t>4</w:t>
      </w:r>
      <w:r>
        <w:rPr>
          <w:rFonts w:ascii="SimSun" w:eastAsia="SimSun" w:hAnsi="SimSun" w:cs="SimSun"/>
        </w:rPr>
        <w:t>年位居天津市各高校第一。</w:t>
      </w:r>
      <w:r>
        <w:rPr>
          <w:rFonts w:ascii="Times New Roman" w:eastAsia="Times New Roman" w:hAnsi="Times New Roman" w:cs="Times New Roman"/>
        </w:rPr>
        <w:t>2021</w:t>
      </w:r>
      <w:r>
        <w:rPr>
          <w:rFonts w:ascii="SimSun" w:eastAsia="SimSun" w:hAnsi="SimSun" w:cs="SimSun"/>
        </w:rPr>
        <w:t>年获批硕士学位授予单位，并将在机械硕士（</w:t>
      </w:r>
      <w:r>
        <w:rPr>
          <w:rFonts w:ascii="Times New Roman" w:eastAsia="Times New Roman" w:hAnsi="Times New Roman" w:cs="Times New Roman"/>
        </w:rPr>
        <w:t>0855</w:t>
      </w:r>
      <w:r>
        <w:rPr>
          <w:rFonts w:ascii="SimSun" w:eastAsia="SimSun" w:hAnsi="SimSun" w:cs="SimSun"/>
        </w:rPr>
        <w:t>）专业学位授权点开始招生。</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期间，学校获评国家级教学成果奖</w:t>
      </w:r>
      <w:r>
        <w:rPr>
          <w:rFonts w:ascii="Times New Roman" w:eastAsia="Times New Roman" w:hAnsi="Times New Roman" w:cs="Times New Roman"/>
        </w:rPr>
        <w:t>2</w:t>
      </w:r>
      <w:r>
        <w:rPr>
          <w:rFonts w:ascii="SimSun" w:eastAsia="SimSun" w:hAnsi="SimSun" w:cs="SimSun"/>
        </w:rPr>
        <w:t>项，天津市教学成果奖</w:t>
      </w:r>
      <w:r>
        <w:rPr>
          <w:rFonts w:ascii="Times New Roman" w:eastAsia="Times New Roman" w:hAnsi="Times New Roman" w:cs="Times New Roman"/>
        </w:rPr>
        <w:t>6</w:t>
      </w:r>
      <w:r>
        <w:rPr>
          <w:rFonts w:ascii="SimSun" w:eastAsia="SimSun" w:hAnsi="SimSun" w:cs="SimSun"/>
        </w:rPr>
        <w:t>项，师生获国家级学科和专业竞赛奖项</w:t>
      </w:r>
      <w:r>
        <w:rPr>
          <w:rFonts w:ascii="Times New Roman" w:eastAsia="Times New Roman" w:hAnsi="Times New Roman" w:cs="Times New Roman"/>
        </w:rPr>
        <w:t>524</w:t>
      </w:r>
      <w:r>
        <w:rPr>
          <w:rFonts w:ascii="SimSun" w:eastAsia="SimSun" w:hAnsi="SimSun" w:cs="SimSun"/>
        </w:rPr>
        <w:t>项。</w:t>
      </w:r>
      <w:r>
        <w:rPr>
          <w:rFonts w:ascii="Times New Roman" w:eastAsia="Times New Roman" w:hAnsi="Times New Roman" w:cs="Times New Roman"/>
        </w:rPr>
        <w:t>2019</w:t>
      </w:r>
      <w:r>
        <w:rPr>
          <w:rFonts w:ascii="SimSun" w:eastAsia="SimSun" w:hAnsi="SimSun" w:cs="SimSun"/>
        </w:rPr>
        <w:t>年至</w:t>
      </w:r>
      <w:r>
        <w:rPr>
          <w:rFonts w:ascii="Times New Roman" w:eastAsia="Times New Roman" w:hAnsi="Times New Roman" w:cs="Times New Roman"/>
        </w:rPr>
        <w:t>2021</w:t>
      </w:r>
      <w:r>
        <w:rPr>
          <w:rFonts w:ascii="SimSun" w:eastAsia="SimSun" w:hAnsi="SimSun" w:cs="SimSun"/>
        </w:rPr>
        <w:t>年，连续三年在</w:t>
      </w:r>
      <w:r>
        <w:rPr>
          <w:rFonts w:ascii="Times New Roman" w:eastAsia="Times New Roman" w:hAnsi="Times New Roman" w:cs="Times New Roman"/>
        </w:rPr>
        <w:t>“</w:t>
      </w:r>
      <w:r>
        <w:rPr>
          <w:rFonts w:ascii="SimSun" w:eastAsia="SimSun" w:hAnsi="SimSun" w:cs="SimSun"/>
        </w:rPr>
        <w:t>新建本科院校教师教学发展指数</w:t>
      </w:r>
      <w:r>
        <w:rPr>
          <w:rFonts w:ascii="Times New Roman" w:eastAsia="Times New Roman" w:hAnsi="Times New Roman" w:cs="Times New Roman"/>
        </w:rPr>
        <w:t>”</w:t>
      </w:r>
      <w:r>
        <w:rPr>
          <w:rFonts w:ascii="SimSun" w:eastAsia="SimSun" w:hAnsi="SimSun" w:cs="SimSun"/>
        </w:rPr>
        <w:t>排名中位列全国第一。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崇实</w:t>
      </w:r>
      <w:r>
        <w:rPr>
          <w:rFonts w:ascii="Times New Roman" w:eastAsia="Times New Roman" w:hAnsi="Times New Roman" w:cs="Times New Roman"/>
        </w:rPr>
        <w:t xml:space="preserve"> </w:t>
      </w:r>
      <w:r>
        <w:rPr>
          <w:rFonts w:ascii="SimSun" w:eastAsia="SimSun" w:hAnsi="SimSun" w:cs="SimSun"/>
        </w:rPr>
        <w:t>求精</w:t>
      </w:r>
      <w:r>
        <w:rPr>
          <w:rFonts w:ascii="Times New Roman" w:eastAsia="Times New Roman" w:hAnsi="Times New Roman" w:cs="Times New Roman"/>
        </w:rPr>
        <w:t xml:space="preserve"> </w:t>
      </w:r>
      <w:r>
        <w:rPr>
          <w:rFonts w:ascii="SimSun" w:eastAsia="SimSun" w:hAnsi="SimSun" w:cs="SimSun"/>
        </w:rPr>
        <w:t>致良知</w:t>
      </w:r>
      <w:r>
        <w:rPr>
          <w:rFonts w:ascii="Times New Roman" w:eastAsia="Times New Roman" w:hAnsi="Times New Roman" w:cs="Times New Roman"/>
        </w:rPr>
        <w:t>”</w:t>
      </w:r>
      <w:r>
        <w:rPr>
          <w:rFonts w:ascii="SimSun" w:eastAsia="SimSun" w:hAnsi="SimSun" w:cs="SimSun"/>
        </w:rPr>
        <w:t>的校训和</w:t>
      </w:r>
      <w:r>
        <w:rPr>
          <w:rFonts w:ascii="Times New Roman" w:eastAsia="Times New Roman" w:hAnsi="Times New Roman" w:cs="Times New Roman"/>
        </w:rPr>
        <w:t>“</w:t>
      </w:r>
      <w:r>
        <w:rPr>
          <w:rFonts w:ascii="SimSun" w:eastAsia="SimSun" w:hAnsi="SimSun" w:cs="SimSun"/>
        </w:rPr>
        <w:t>海纳百川</w:t>
      </w:r>
      <w:r>
        <w:rPr>
          <w:rFonts w:ascii="Times New Roman" w:eastAsia="Times New Roman" w:hAnsi="Times New Roman" w:cs="Times New Roman"/>
        </w:rPr>
        <w:t xml:space="preserve"> </w:t>
      </w:r>
      <w:r>
        <w:rPr>
          <w:rFonts w:ascii="SimSun" w:eastAsia="SimSun" w:hAnsi="SimSun" w:cs="SimSun"/>
        </w:rPr>
        <w:t>敬业乐群</w:t>
      </w:r>
      <w:r>
        <w:rPr>
          <w:rFonts w:ascii="Times New Roman" w:eastAsia="Times New Roman" w:hAnsi="Times New Roman" w:cs="Times New Roman"/>
        </w:rPr>
        <w:t>”</w:t>
      </w:r>
      <w:r>
        <w:rPr>
          <w:rFonts w:ascii="SimSun" w:eastAsia="SimSun" w:hAnsi="SimSun" w:cs="SimSun"/>
        </w:rPr>
        <w:t>的中德精神，始终坚持聚焦工业发展需求，传承</w:t>
      </w:r>
      <w:r>
        <w:rPr>
          <w:rFonts w:ascii="Times New Roman" w:eastAsia="Times New Roman" w:hAnsi="Times New Roman" w:cs="Times New Roman"/>
        </w:rPr>
        <w:t>“</w:t>
      </w:r>
      <w:r>
        <w:rPr>
          <w:rFonts w:ascii="SimSun" w:eastAsia="SimSun" w:hAnsi="SimSun" w:cs="SimSun"/>
        </w:rPr>
        <w:t>精益求精、诚实守信</w:t>
      </w:r>
      <w:r>
        <w:rPr>
          <w:rFonts w:ascii="Times New Roman" w:eastAsia="Times New Roman" w:hAnsi="Times New Roman" w:cs="Times New Roman"/>
        </w:rPr>
        <w:t>”</w:t>
      </w:r>
      <w:r>
        <w:rPr>
          <w:rFonts w:ascii="SimSun" w:eastAsia="SimSun" w:hAnsi="SimSun" w:cs="SimSun"/>
        </w:rPr>
        <w:t>的工匠精神，致力于培养</w:t>
      </w:r>
      <w:r>
        <w:rPr>
          <w:rFonts w:ascii="Times New Roman" w:eastAsia="Times New Roman" w:hAnsi="Times New Roman" w:cs="Times New Roman"/>
        </w:rPr>
        <w:t>“</w:t>
      </w:r>
      <w:r>
        <w:rPr>
          <w:rFonts w:ascii="SimSun" w:eastAsia="SimSun" w:hAnsi="SimSun" w:cs="SimSun"/>
        </w:rPr>
        <w:t>政治过硬、技能精湛、诚实守信、理性平和</w:t>
      </w:r>
      <w:r>
        <w:rPr>
          <w:rFonts w:ascii="Times New Roman" w:eastAsia="Times New Roman" w:hAnsi="Times New Roman" w:cs="Times New Roman"/>
        </w:rPr>
        <w:t>”</w:t>
      </w:r>
      <w:r>
        <w:rPr>
          <w:rFonts w:ascii="SimSun" w:eastAsia="SimSun" w:hAnsi="SimSun" w:cs="SimSun"/>
        </w:rPr>
        <w:t>的高级技师、一线工程师、大国工匠。当前，学校正肩负着</w:t>
      </w:r>
      <w:r>
        <w:rPr>
          <w:rFonts w:ascii="Times New Roman" w:eastAsia="Times New Roman" w:hAnsi="Times New Roman" w:cs="Times New Roman"/>
        </w:rPr>
        <w:t>“</w:t>
      </w:r>
      <w:r>
        <w:rPr>
          <w:rFonts w:ascii="SimSun" w:eastAsia="SimSun" w:hAnsi="SimSun" w:cs="SimSun"/>
        </w:rPr>
        <w:t>为国家试制度、为地方谋发展</w:t>
      </w:r>
      <w:r>
        <w:rPr>
          <w:rFonts w:ascii="Times New Roman" w:eastAsia="Times New Roman" w:hAnsi="Times New Roman" w:cs="Times New Roman"/>
        </w:rPr>
        <w:t>”</w:t>
      </w:r>
      <w:r>
        <w:rPr>
          <w:rFonts w:ascii="SimSun" w:eastAsia="SimSun" w:hAnsi="SimSun" w:cs="SimSun"/>
        </w:rPr>
        <w:t>的重要使命，积极探索构建现代职业教育体系，全力推进世界一流应用技术大学建设。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学校设招生委员会，全面负责学校的招生工作，制定招生政策、招生计划，决定有关招生工作的重大事宜。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学校招生委员会设招生办公室，是组织和实施招生工作的常设机构，负责招生的日常工作。学校纪检部门对招生工作进行监督，维护广大考生和学校的合法权益，确保招生工作公平、公正。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学校根据发展规划、办学条件、专业特点、生源状况和社会需求制定了</w:t>
      </w:r>
      <w:r>
        <w:rPr>
          <w:rFonts w:ascii="Times New Roman" w:eastAsia="Times New Roman" w:hAnsi="Times New Roman" w:cs="Times New Roman"/>
        </w:rPr>
        <w:t>2022</w:t>
      </w:r>
      <w:r>
        <w:rPr>
          <w:rFonts w:ascii="SimSun" w:eastAsia="SimSun" w:hAnsi="SimSun" w:cs="SimSun"/>
        </w:rPr>
        <w:t>年面向全国各省（直辖市、自治区）的分专业招生计划。具体分省分专业招生计划以各省（直辖市、自治区）普通高校招生主管部门公布的为准。本科预留计划不超过学校本科招生计划的</w:t>
      </w:r>
      <w:r>
        <w:rPr>
          <w:rFonts w:ascii="Times New Roman" w:eastAsia="Times New Roman" w:hAnsi="Times New Roman" w:cs="Times New Roman"/>
        </w:rPr>
        <w:t>1%</w:t>
      </w:r>
      <w:r>
        <w:rPr>
          <w:rFonts w:ascii="SimSun" w:eastAsia="SimSun" w:hAnsi="SimSun" w:cs="SimSun"/>
        </w:rPr>
        <w:t>，用于生源质量调控等。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本科学年制学费标准：文科类专业（不含外国语言文学类）每生每学年</w:t>
      </w:r>
      <w:r>
        <w:rPr>
          <w:rFonts w:ascii="Times New Roman" w:eastAsia="Times New Roman" w:hAnsi="Times New Roman" w:cs="Times New Roman"/>
        </w:rPr>
        <w:t>4400</w:t>
      </w:r>
      <w:r>
        <w:rPr>
          <w:rFonts w:ascii="SimSun" w:eastAsia="SimSun" w:hAnsi="SimSun" w:cs="SimSun"/>
        </w:rPr>
        <w:t>元；理工类、外语类专业每生每学年</w:t>
      </w:r>
      <w:r>
        <w:rPr>
          <w:rFonts w:ascii="Times New Roman" w:eastAsia="Times New Roman" w:hAnsi="Times New Roman" w:cs="Times New Roman"/>
        </w:rPr>
        <w:t>5400</w:t>
      </w:r>
      <w:r>
        <w:rPr>
          <w:rFonts w:ascii="SimSun" w:eastAsia="SimSun" w:hAnsi="SimSun" w:cs="SimSun"/>
        </w:rPr>
        <w:t>元；艺术设计学类专业每生每学年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高职学年制学费标准：高职一般专业每生每学年</w:t>
      </w:r>
      <w:r>
        <w:rPr>
          <w:rFonts w:ascii="Times New Roman" w:eastAsia="Times New Roman" w:hAnsi="Times New Roman" w:cs="Times New Roman"/>
        </w:rPr>
        <w:t>5000</w:t>
      </w:r>
      <w:r>
        <w:rPr>
          <w:rFonts w:ascii="SimSun" w:eastAsia="SimSun" w:hAnsi="SimSun" w:cs="SimSun"/>
        </w:rPr>
        <w:t>元，高职特殊专业每生每学年</w:t>
      </w:r>
      <w:r>
        <w:rPr>
          <w:rFonts w:ascii="Times New Roman" w:eastAsia="Times New Roman" w:hAnsi="Times New Roman" w:cs="Times New Roman"/>
        </w:rPr>
        <w:t>5500</w:t>
      </w:r>
      <w:r>
        <w:rPr>
          <w:rFonts w:ascii="SimSun" w:eastAsia="SimSun" w:hAnsi="SimSun" w:cs="SimSun"/>
        </w:rPr>
        <w:t>元；空中乘务专业每生每学年</w:t>
      </w:r>
      <w:r>
        <w:rPr>
          <w:rFonts w:ascii="Times New Roman" w:eastAsia="Times New Roman" w:hAnsi="Times New Roman" w:cs="Times New Roman"/>
        </w:rPr>
        <w:t>8000</w:t>
      </w:r>
      <w:r>
        <w:rPr>
          <w:rFonts w:ascii="SimSun" w:eastAsia="SimSun" w:hAnsi="SimSun" w:cs="SimSun"/>
        </w:rPr>
        <w:t>元；数控技术（中外合作办学）、模具设计与制造（中外合作办学）和智能制造装备技术（中外合作办学）三个专业，每生每学年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间，每生每学年</w:t>
      </w:r>
      <w:r>
        <w:rPr>
          <w:rFonts w:ascii="Times New Roman" w:eastAsia="Times New Roman" w:hAnsi="Times New Roman" w:cs="Times New Roman"/>
        </w:rPr>
        <w:t>1000</w:t>
      </w:r>
      <w:r>
        <w:rPr>
          <w:rFonts w:ascii="SimSun" w:eastAsia="SimSun" w:hAnsi="SimSun" w:cs="SimSun"/>
        </w:rPr>
        <w:t>元（宿舍由学校按制度统一分配）。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以上详见新生入学须知。收费标准如有调整，按最终价格主管部门批准的文件执行。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直辖市、自治区）招生委员会制定的录取政策、以及本章程公布的有关规定，以考生填报的志愿和文化课成绩为主要录取依据，德智体美劳全面考核，择优录取。录取过程中，自觉接受各省（直辖市、自治区）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时将依据考生填报的院校志愿，按照考生的高考总分（投档分）录取。实行平行志愿投档的省份，执行所在省份的政策。未实施平行志愿投档的省份，学校录取遵循志愿优先原则，优先录取第一志愿报考我校的考生，当考生所在省份公布的同批次最低控制线上第一志愿报考我校的人数少于我校招生计划数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原则（内蒙古自治区普通类专业遵循</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原则），无专业级差。考生在所报专业志愿均未被录取情况下，对服从专业调剂者，调到未录满专业；对不服从专业调剂者，作退档处理。高职中外合作办学类专业与高职普通类专业，符合条件的可以相互调剂。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实施高考综合改革的省（直辖市）的考生，录取时按照各省市公布的改革方案及有关办法执行，高考综合改革省市的考生须满足我校选考科目要求，投档成绩相同时，按各省市确定的同分排序规则进行专业录取。对未实施高考综合改革的省（自治区）的考生，高考总分（投档分）相同条件下，优先录取获得省级优秀学生、优秀学生干部、三好学生等荣誉称号考生。如条件仍然相同，则依次比较语文、数学、外语单科分数，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空中乘务专业录取要求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年龄：不超过</w:t>
      </w:r>
      <w:r>
        <w:rPr>
          <w:rFonts w:ascii="Times New Roman" w:eastAsia="Times New Roman" w:hAnsi="Times New Roman" w:cs="Times New Roman"/>
        </w:rPr>
        <w:t>21</w:t>
      </w:r>
      <w:r>
        <w:rPr>
          <w:rFonts w:ascii="SimSun" w:eastAsia="SimSun" w:hAnsi="SimSun" w:cs="SimSun"/>
        </w:rPr>
        <w:t>周岁（</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身高、视力：男生净身高</w:t>
      </w:r>
      <w:r>
        <w:rPr>
          <w:rFonts w:ascii="Times New Roman" w:eastAsia="Times New Roman" w:hAnsi="Times New Roman" w:cs="Times New Roman"/>
        </w:rPr>
        <w:t>172-184cm</w:t>
      </w:r>
      <w:r>
        <w:rPr>
          <w:rFonts w:ascii="SimSun" w:eastAsia="SimSun" w:hAnsi="SimSun" w:cs="SimSun"/>
        </w:rPr>
        <w:t>，女生净身高</w:t>
      </w:r>
      <w:r>
        <w:rPr>
          <w:rFonts w:ascii="Times New Roman" w:eastAsia="Times New Roman" w:hAnsi="Times New Roman" w:cs="Times New Roman"/>
        </w:rPr>
        <w:t>162-174cm</w:t>
      </w:r>
      <w:r>
        <w:rPr>
          <w:rFonts w:ascii="SimSun" w:eastAsia="SimSun" w:hAnsi="SimSun" w:cs="SimSun"/>
        </w:rPr>
        <w:t>。双眼矫正视力（</w:t>
      </w:r>
      <w:r>
        <w:rPr>
          <w:rFonts w:ascii="Times New Roman" w:eastAsia="Times New Roman" w:hAnsi="Times New Roman" w:cs="Times New Roman"/>
        </w:rPr>
        <w:t>C</w:t>
      </w:r>
      <w:r>
        <w:rPr>
          <w:rFonts w:ascii="SimSun" w:eastAsia="SimSun" w:hAnsi="SimSun" w:cs="SimSun"/>
        </w:rPr>
        <w:t>字表）不低于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五官及其他：五官端正，面部、颈部、四肢及其它部位无明显疤痕、斑点、纹身等；口齿清楚，无口吃、舌短现象；无色盲、色弱；无</w:t>
      </w:r>
      <w:r>
        <w:rPr>
          <w:rFonts w:ascii="Times New Roman" w:eastAsia="Times New Roman" w:hAnsi="Times New Roman" w:cs="Times New Roman"/>
        </w:rPr>
        <w:t>“X”“O”</w:t>
      </w:r>
      <w:r>
        <w:rPr>
          <w:rFonts w:ascii="SimSun" w:eastAsia="SimSun" w:hAnsi="SimSun" w:cs="SimSun"/>
        </w:rPr>
        <w:t>形腿；嗅觉、听力正常。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以上条件按高考体格检查表执行，考生未达到以上标准要求不能报考，否则责任自负。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艺术（美术）类录取规则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只录取省级美术类统（联）考合格、高考文化课成绩达到本省（直辖市、自治区）规定的艺术类本科控制分数线的考生。实行顺序志愿录取的省份，院校志愿录取以志愿优先为原则；实行平行志愿的省份，院校志愿录取按照各省平行志愿投档规则进行投档，投档成绩计算规则详见各省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以分数优先为原则，按考生所在省（直辖市、自治区）招生主管部门艺术（美术）类专业投档录取原则规定进行录取。若考生所在（直辖市、自治区）招生主管部门艺术（美术）类专业录取无明确要求，则按照投档考生高考文化成绩和专业联考或统考成绩总和录取。如出现同分考生，则优先录取专业课成绩较高者；如专业课成绩仍相同，则依次比较语文、数学、外语单科分数，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对政策加分考生的录取，严格按照教育部规定的原则执行。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学校公共外语课程均为英语，非英语语种考生请慎重报考；飞行器制造工程、无人驾驶航空器系统工程、空中乘务等专业企业实习及从业对英语要求较高，非英语语种考生及英语学习困难考生请慎重报考。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的身体健康要求，依据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学校在接到各省（直辖市、自治区）招办核准备案的录取考生名单后，以邮政特快专递方式向考生发放录取通知书。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及身份证，按学校有关要求和规定的期限到校办理入学手续。因故不能按期入学者，应当向学校请假。未请假或请假逾期者，除因不可抗力等正当事由以外，视为放弃入学资格。具体报到要求见学校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注册学籍后，依据《天津中德应用技术大学学生日常行为规范》、《天津中德应用技术大学高职学生学籍管理规定》、《天津中德应用技术大学本科学生学籍管理规定（试行）》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对于应征入伍的新生应按学校要求在规定时间内办理保留入学资格手续。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学校普通全日制本科、高职生转专业依据《天津中德应用技术大学转专业管理办法（试行）》执行。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学校为家庭经济困难学生设有助学贷款、国家助学金、勤工助学、特困补助等政策，形成了</w:t>
      </w:r>
      <w:r>
        <w:rPr>
          <w:rFonts w:ascii="Times New Roman" w:eastAsia="Times New Roman" w:hAnsi="Times New Roman" w:cs="Times New Roman"/>
        </w:rPr>
        <w:t>“</w:t>
      </w:r>
      <w:r>
        <w:rPr>
          <w:rFonts w:ascii="SimSun" w:eastAsia="SimSun" w:hAnsi="SimSun" w:cs="SimSun"/>
        </w:rPr>
        <w:t>奖、勤、助、贷、补、减、免</w:t>
      </w:r>
      <w:r>
        <w:rPr>
          <w:rFonts w:ascii="Times New Roman" w:eastAsia="Times New Roman" w:hAnsi="Times New Roman" w:cs="Times New Roman"/>
        </w:rPr>
        <w:t>”</w:t>
      </w:r>
      <w:r>
        <w:rPr>
          <w:rFonts w:ascii="SimSun" w:eastAsia="SimSun" w:hAnsi="SimSun" w:cs="SimSun"/>
        </w:rPr>
        <w:t>七位一体的学生奖助体系。设立国家奖学金、国家励志奖学金、市政府奖学金、校长奖学金、专项奖学金。同时，学校吸引社会、企业和个人捐资，设立多项社会奖助学金。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本科学生完成规定学业，经审查达到毕业标准的，颁发天津中德应用技术大学全日制普通高等学校本科毕业证书；符合《天津中德应用技术大学学士学位授予工作实施细则》要求的学生，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高职：高职学生完成规定学业，经审查达到毕业标准的，颁发天津中德应用技术大学全日制普通高等学校专科毕业证书。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年天津中德应用技术大学普通本科高职招生工作。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在招生咨询过程中，咨询人员的个人意见、建议仅作为考生填报志愿的参考，不属学校录取承诺。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https://zs.tsguas.edu.cn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022-28776099</w:t>
      </w:r>
      <w:r>
        <w:rPr>
          <w:rFonts w:ascii="SimSun" w:eastAsia="SimSun" w:hAnsi="SimSun" w:cs="SimSun"/>
        </w:rPr>
        <w:t>、</w:t>
      </w:r>
      <w:r>
        <w:rPr>
          <w:rFonts w:ascii="Times New Roman" w:eastAsia="Times New Roman" w:hAnsi="Times New Roman" w:cs="Times New Roman"/>
        </w:rPr>
        <w:t xml:space="preserve">28776655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022-28771113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022-28776106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zsb@tsguas.edu.cn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本章程由天津中德应用技术大学招生办公室负责解释。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72.html" TargetMode="External" /><Relationship Id="rId5" Type="http://schemas.openxmlformats.org/officeDocument/2006/relationships/hyperlink" Target="http://www.gk114.com/a/gxzs/zszc/tianjin/2022/0529/2257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