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天津体育学院运动与文化艺术学院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根据《中华人民共和国教育法》、《中华人民共和国高等教育法》等相关法律法规和教育部的有关文件规定，为规范和保证学校招生工作顺利进行，结合我院实际情况，制定本章程。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本章程是社会了解我院有关招生政策、规定及相关信息的主要渠道，是我院开展招生咨询和录取工作的重要依据。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一、学校名称：天津体育学院运动与文化艺术学院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13659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五、办学地址：天津市蓟州区盘山大道</w:t>
      </w:r>
      <w:r>
        <w:rPr>
          <w:rFonts w:ascii="Times New Roman" w:eastAsia="Times New Roman" w:hAnsi="Times New Roman" w:cs="Times New Roman"/>
        </w:rPr>
        <w:t>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天津体育学院运动与文化艺术学院（学校代码</w:t>
      </w:r>
      <w:r>
        <w:rPr>
          <w:rFonts w:ascii="Times New Roman" w:eastAsia="Times New Roman" w:hAnsi="Times New Roman" w:cs="Times New Roman"/>
        </w:rPr>
        <w:t>13659</w:t>
      </w:r>
      <w:r>
        <w:rPr>
          <w:rFonts w:ascii="SimSun" w:eastAsia="SimSun" w:hAnsi="SimSun" w:cs="SimSun"/>
        </w:rPr>
        <w:t>）是</w:t>
      </w:r>
      <w:r>
        <w:rPr>
          <w:rFonts w:ascii="Times New Roman" w:eastAsia="Times New Roman" w:hAnsi="Times New Roman" w:cs="Times New Roman"/>
        </w:rPr>
        <w:t>2004</w:t>
      </w:r>
      <w:r>
        <w:rPr>
          <w:rFonts w:ascii="SimSun" w:eastAsia="SimSun" w:hAnsi="SimSun" w:cs="SimSun"/>
        </w:rPr>
        <w:t>年经国家教育部批准成立的独立学院，是以培养我国急需的文化艺术与传媒类人才为主要办学定位的普通本科高等学校。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学校按照国家普通高校招生计划在全国招生，设有</w:t>
      </w:r>
      <w:r>
        <w:rPr>
          <w:rFonts w:ascii="Times New Roman" w:eastAsia="Times New Roman" w:hAnsi="Times New Roman" w:cs="Times New Roman"/>
        </w:rPr>
        <w:t>20</w:t>
      </w:r>
      <w:r>
        <w:rPr>
          <w:rFonts w:ascii="SimSun" w:eastAsia="SimSun" w:hAnsi="SimSun" w:cs="SimSun"/>
        </w:rPr>
        <w:t>多个本科专业，覆盖了艺术学、文学、管理学、教育学等学科门类，年招生人数</w:t>
      </w:r>
      <w:r>
        <w:rPr>
          <w:rFonts w:ascii="Times New Roman" w:eastAsia="Times New Roman" w:hAnsi="Times New Roman" w:cs="Times New Roman"/>
        </w:rPr>
        <w:t>1700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学校下设七院一部：音乐学院、舞蹈学院、视觉艺术学院、戏剧学院、影视学院、播音主持艺术学院、文化与管理学院和基础教学部。目前，专业学科的建设趋于成型，构建了艺术与传媒教育的基本框架。</w:t>
      </w:r>
      <w:r>
        <w:rPr>
          <w:rFonts w:ascii="Times New Roman" w:eastAsia="Times New Roman" w:hAnsi="Times New Roman" w:cs="Times New Roman"/>
        </w:rPr>
        <w:t>2019</w:t>
      </w:r>
      <w:r>
        <w:rPr>
          <w:rFonts w:ascii="SimSun" w:eastAsia="SimSun" w:hAnsi="SimSun" w:cs="SimSun"/>
        </w:rPr>
        <w:t>年计划招生的专业有：音乐表演、音乐学、舞蹈表演、舞蹈学、广播电视编导、影视摄影与制作、录音艺术、戏剧影视导演、表演、戏剧影视文学、播音与主持艺术、新闻学、戏剧影视美术设计、动画、视觉传达设计、学前教育、汉语言文学、文化产业管理、电子商务、公共艺术等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学校坚持艺术教育与社会接轨、与市场接轨、与国际接轨、与时代接轨的办学理念，逐步凝练和打造特色品牌专业；坚持主动适应文化产业发展需求，强化</w:t>
      </w:r>
      <w:r>
        <w:rPr>
          <w:rFonts w:ascii="Times New Roman" w:eastAsia="Times New Roman" w:hAnsi="Times New Roman" w:cs="Times New Roman"/>
        </w:rPr>
        <w:t>“</w:t>
      </w:r>
      <w:r>
        <w:rPr>
          <w:rFonts w:ascii="SimSun" w:eastAsia="SimSun" w:hAnsi="SimSun" w:cs="SimSun"/>
        </w:rPr>
        <w:t>开放式办学、多元化培养、链条型结构</w:t>
      </w:r>
      <w:r>
        <w:rPr>
          <w:rFonts w:ascii="Times New Roman" w:eastAsia="Times New Roman" w:hAnsi="Times New Roman" w:cs="Times New Roman"/>
        </w:rPr>
        <w:t>”</w:t>
      </w:r>
      <w:r>
        <w:rPr>
          <w:rFonts w:ascii="SimSun" w:eastAsia="SimSun" w:hAnsi="SimSun" w:cs="SimSun"/>
        </w:rPr>
        <w:t>的专业建设思路，使全校上下形成共识，稳步推进学校的综合发展，开创具有中国特色的现代艺术与传媒教育的新天地。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学校设立招生委员会，全面负责学校招生工作，制定招生政策、招生计划，讨论决定招生重大事宜。招生委员会下设招生办公室，是组织和实施招生工作的常设机构，负责招生的日常工作。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学校纪委、监察部门对学校的招生工作实施监督。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各省、自治区、直辖市的分专业招生计划。并按教育部核准下达的具体招生专业、招生人数，在规定时间内报送到各省、自治区、直辖市招生办公室，向社会公布。分省分专业招生规模以有关省级招办公布的招生计划为准，预留计划数不超过学校本科招生计划的</w:t>
      </w:r>
      <w:r>
        <w:rPr>
          <w:rFonts w:ascii="Times New Roman" w:eastAsia="Times New Roman" w:hAnsi="Times New Roman" w:cs="Times New Roman"/>
        </w:rPr>
        <w:t>1%</w:t>
      </w:r>
      <w:r>
        <w:rPr>
          <w:rFonts w:ascii="SimSun" w:eastAsia="SimSun" w:hAnsi="SimSun" w:cs="SimSun"/>
        </w:rPr>
        <w:t>，预留计划的使用以合理有效调节上线生源不平衡为基本原则。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根据规定，学生入学须缴纳学费、住宿费及其他有关费用，学校按照政府制订的收费标准对学生收费。学费标准参照独立学院艺术学类专业每生每学年</w:t>
      </w:r>
      <w:r>
        <w:rPr>
          <w:rFonts w:ascii="Times New Roman" w:eastAsia="Times New Roman" w:hAnsi="Times New Roman" w:cs="Times New Roman"/>
        </w:rPr>
        <w:t>21000</w:t>
      </w:r>
      <w:r>
        <w:rPr>
          <w:rFonts w:ascii="SimSun" w:eastAsia="SimSun" w:hAnsi="SimSun" w:cs="SimSun"/>
        </w:rPr>
        <w:t>元（其中我院舞蹈类专业、戏剧影视美术设计、公共艺术为每生每学年</w:t>
      </w:r>
      <w:r>
        <w:rPr>
          <w:rFonts w:ascii="Times New Roman" w:eastAsia="Times New Roman" w:hAnsi="Times New Roman" w:cs="Times New Roman"/>
        </w:rPr>
        <w:t>19000</w:t>
      </w:r>
      <w:r>
        <w:rPr>
          <w:rFonts w:ascii="SimSun" w:eastAsia="SimSun" w:hAnsi="SimSun" w:cs="SimSun"/>
        </w:rPr>
        <w:t>元，戏剧影视文学每生每学年</w:t>
      </w:r>
      <w:r>
        <w:rPr>
          <w:rFonts w:ascii="Times New Roman" w:eastAsia="Times New Roman" w:hAnsi="Times New Roman" w:cs="Times New Roman"/>
        </w:rPr>
        <w:t>18000</w:t>
      </w:r>
      <w:r>
        <w:rPr>
          <w:rFonts w:ascii="SimSun" w:eastAsia="SimSun" w:hAnsi="SimSun" w:cs="SimSun"/>
        </w:rPr>
        <w:t>元，广播电视编导、戏剧影视导演、影视摄影与制作、动画、视觉传达设计每生每学年</w:t>
      </w:r>
      <w:r>
        <w:rPr>
          <w:rFonts w:ascii="Times New Roman" w:eastAsia="Times New Roman" w:hAnsi="Times New Roman" w:cs="Times New Roman"/>
        </w:rPr>
        <w:t>20000</w:t>
      </w:r>
      <w:r>
        <w:rPr>
          <w:rFonts w:ascii="SimSun" w:eastAsia="SimSun" w:hAnsi="SimSun" w:cs="SimSun"/>
        </w:rPr>
        <w:t>元）；普通类专业每生每学年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经天津市物价部门批准（津教委财【</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19</w:t>
      </w:r>
      <w:r>
        <w:rPr>
          <w:rFonts w:ascii="SimSun" w:eastAsia="SimSun" w:hAnsi="SimSun" w:cs="SimSun"/>
        </w:rPr>
        <w:t>号和津发改价费【</w:t>
      </w:r>
      <w:r>
        <w:rPr>
          <w:rFonts w:ascii="Times New Roman" w:eastAsia="Times New Roman" w:hAnsi="Times New Roman" w:cs="Times New Roman"/>
        </w:rPr>
        <w:t>2012</w:t>
      </w:r>
      <w:r>
        <w:rPr>
          <w:rFonts w:ascii="SimSun" w:eastAsia="SimSun" w:hAnsi="SimSun" w:cs="SimSun"/>
        </w:rPr>
        <w:t>】</w:t>
      </w:r>
      <w:r>
        <w:rPr>
          <w:rFonts w:ascii="Times New Roman" w:eastAsia="Times New Roman" w:hAnsi="Times New Roman" w:cs="Times New Roman"/>
        </w:rPr>
        <w:t>404</w:t>
      </w:r>
      <w:r>
        <w:rPr>
          <w:rFonts w:ascii="SimSun" w:eastAsia="SimSun" w:hAnsi="SimSun" w:cs="SimSun"/>
        </w:rPr>
        <w:t>号），我校学生公寓住宿费标准调整为：每生</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年。各专业收费标准详见各省、自治区、直辖市招生办公室公布的招生计划表或学校下发的</w:t>
      </w:r>
      <w:r>
        <w:rPr>
          <w:rFonts w:ascii="Times New Roman" w:eastAsia="Times New Roman" w:hAnsi="Times New Roman" w:cs="Times New Roman"/>
        </w:rPr>
        <w:t>2019</w:t>
      </w:r>
      <w:r>
        <w:rPr>
          <w:rFonts w:ascii="SimSun" w:eastAsia="SimSun" w:hAnsi="SimSun" w:cs="SimSun"/>
        </w:rPr>
        <w:t>年新生报到须知。如果政府对当年度学费和住宿费标准进行调整，以政府核定的标准执行。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我院的招生录取工作执行国家教育部和各省、自治区、直辖市招生委员会制定的录取政策，以及本章程公布的有关规定，以考生填报的志愿和考试成绩为主要依据，贯彻</w:t>
      </w:r>
      <w:r>
        <w:rPr>
          <w:rFonts w:ascii="Times New Roman" w:eastAsia="Times New Roman" w:hAnsi="Times New Roman" w:cs="Times New Roman"/>
        </w:rPr>
        <w:t>“</w:t>
      </w:r>
      <w:r>
        <w:rPr>
          <w:rFonts w:ascii="SimSun" w:eastAsia="SimSun" w:hAnsi="SimSun" w:cs="SimSun"/>
        </w:rPr>
        <w:t>德、智、体、美、劳全面考核，择优录取</w:t>
      </w:r>
      <w:r>
        <w:rPr>
          <w:rFonts w:ascii="Times New Roman" w:eastAsia="Times New Roman" w:hAnsi="Times New Roman" w:cs="Times New Roman"/>
        </w:rPr>
        <w:t>”</w:t>
      </w:r>
      <w:r>
        <w:rPr>
          <w:rFonts w:ascii="SimSun" w:eastAsia="SimSun" w:hAnsi="SimSun" w:cs="SimSun"/>
        </w:rPr>
        <w:t>的原则，公平、公正、公开地进行录取。录取过程中，自觉接受各省、自治区、直辖市招生主管部门、考生和社会各界的监督。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自治区、直辖市，优先录取第一志愿报考我院的考生，如第一志愿考生档案少于我院在当地招生计划时，录取第二志愿考生，依次类推。实行平行志愿的省份，执行考生所在地省、自治区、直辖市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考生总分（含政策性加分）优先为原则，即按高分到低分排队，依次按照考生填报的专业志愿顺序录取，如考生所报志愿均未被录取，服从专业调剂者，根据分数调剂到相应未录满专业；不服从调剂者，作退档处理。专业志愿不设分数级差。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在天津市录取中，普通高中学业水平考试语文、数学、物理、化学、生物、政治、地理、历史</w:t>
      </w:r>
      <w:r>
        <w:rPr>
          <w:rFonts w:ascii="Times New Roman" w:eastAsia="Times New Roman" w:hAnsi="Times New Roman" w:cs="Times New Roman"/>
        </w:rPr>
        <w:t>8</w:t>
      </w:r>
      <w:r>
        <w:rPr>
          <w:rFonts w:ascii="SimSun" w:eastAsia="SimSun" w:hAnsi="SimSun" w:cs="SimSun"/>
        </w:rPr>
        <w:t>个科目成绩等第均获得</w:t>
      </w:r>
      <w:r>
        <w:rPr>
          <w:rFonts w:ascii="Times New Roman" w:eastAsia="Times New Roman" w:hAnsi="Times New Roman" w:cs="Times New Roman"/>
        </w:rPr>
        <w:t>A</w:t>
      </w:r>
      <w:r>
        <w:rPr>
          <w:rFonts w:ascii="SimSun" w:eastAsia="SimSun" w:hAnsi="SimSun" w:cs="SimSun"/>
        </w:rPr>
        <w:t>（简称</w:t>
      </w:r>
      <w:r>
        <w:rPr>
          <w:rFonts w:ascii="Times New Roman" w:eastAsia="Times New Roman" w:hAnsi="Times New Roman" w:cs="Times New Roman"/>
        </w:rPr>
        <w:t>8A</w:t>
      </w:r>
      <w:r>
        <w:rPr>
          <w:rFonts w:ascii="SimSun" w:eastAsia="SimSun" w:hAnsi="SimSun" w:cs="SimSun"/>
        </w:rPr>
        <w:t>）的考生，优先安排专业。优先安排专业时，按照</w:t>
      </w:r>
      <w:r>
        <w:rPr>
          <w:rFonts w:ascii="Times New Roman" w:eastAsia="Times New Roman" w:hAnsi="Times New Roman" w:cs="Times New Roman"/>
        </w:rPr>
        <w:t>8A</w:t>
      </w:r>
      <w:r>
        <w:rPr>
          <w:rFonts w:ascii="SimSun" w:eastAsia="SimSun" w:hAnsi="SimSun" w:cs="SimSun"/>
        </w:rPr>
        <w:t>考生的高考成绩和专业志愿，以分数优先的原则安排专业；如投档分数相同时，比较普通高中学业水平考试成绩和综合素质评价结果。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如上述条件再相同，优先录取相关科目成绩较高的考生（文史类专业的相关科目依次为英语、语文、数学；理工类专业的相关科目依次为英语、数学、语文）；比较高中学业水平考试成绩时，先比较</w:t>
      </w:r>
      <w:r>
        <w:rPr>
          <w:rFonts w:ascii="Times New Roman" w:eastAsia="Times New Roman" w:hAnsi="Times New Roman" w:cs="Times New Roman"/>
        </w:rPr>
        <w:t>A</w:t>
      </w:r>
      <w:r>
        <w:rPr>
          <w:rFonts w:ascii="SimSun" w:eastAsia="SimSun" w:hAnsi="SimSun" w:cs="SimSun"/>
        </w:rPr>
        <w:t>等的个数，如相同，再比较</w:t>
      </w:r>
      <w:r>
        <w:rPr>
          <w:rFonts w:ascii="Times New Roman" w:eastAsia="Times New Roman" w:hAnsi="Times New Roman" w:cs="Times New Roman"/>
        </w:rPr>
        <w:t>B</w:t>
      </w:r>
      <w:r>
        <w:rPr>
          <w:rFonts w:ascii="SimSun" w:eastAsia="SimSun" w:hAnsi="SimSun" w:cs="SimSun"/>
        </w:rPr>
        <w:t>等的个数，依此类推。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比较综合素质评价结果时，依据考生的学业类（含学业成绩、课程修习情况）和非学业类（含道德品质、社会实践、社区服务、获奖情况）两方面情况综合比较。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对江苏的考生，根据江苏省招生录取办法以及我校的录取实际，对江苏省考生进档后采取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的排序规则，选测科目和等级按照招生计划中公布内容为准。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内蒙古自治区考生进档后，专业录取以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范围内按专业或专业大类志愿排序录取</w:t>
      </w:r>
      <w:r>
        <w:rPr>
          <w:rFonts w:ascii="Times New Roman" w:eastAsia="Times New Roman" w:hAnsi="Times New Roman" w:cs="Times New Roman"/>
        </w:rPr>
        <w:t>”</w:t>
      </w:r>
      <w:r>
        <w:rPr>
          <w:rFonts w:ascii="SimSun" w:eastAsia="SimSun" w:hAnsi="SimSun" w:cs="SimSun"/>
        </w:rPr>
        <w:t>为原则。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录取是在专业和文化考试成绩达到考生学籍所在地的教育考试机构划定的相应分数线的情况下，按专业考试成绩择优录取，专业成绩同等情况下，文化考试成绩优秀考生优先录取。普通类专业在分数相同的情况下，依次比较英语、数学、语文成绩，成绩优秀者优先录取。如录取原则与考生所在地省、自治区、直辖市招生主管部门的录取规定相冲突时，执行考生所在地招生主管部门的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依据教育部、卫生部、中国残疾人联合会颁布的《普通高等学校招生体检工作指导意见》执行。对考生身体健康状况进行审查和复查，对不符合标准的，按指导意见的相关规定处理。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新生入学后，学校依据《天津体育学院运动与文化艺术学院学生管理规定》等规章制度进行管理，按教学计划对学生进行培养。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学校在报到时对新生入学资格进行初步审查，审查合格的办理入学手续，予以注册学籍；复查中发现学生存在弄虚作假、徇私舞弊等情形的，确定为复查不合格，予以取消学籍。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体育学院运动与文化艺术学院全日制普通高等学校毕业证书。对符合《天津体育学院运动与文化艺术学院学士学位授予工作规定》要求的毕业生，授予天津体育学院运动与文化艺术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学校设有奖学金和勤工助学岗位。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本章程经天津体育学院运动与文化艺术学院招生委员会审查通过，报上级主管部门审核。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本章程适用于</w:t>
      </w:r>
      <w:r>
        <w:rPr>
          <w:rFonts w:ascii="Times New Roman" w:eastAsia="Times New Roman" w:hAnsi="Times New Roman" w:cs="Times New Roman"/>
        </w:rPr>
        <w:t>2019</w:t>
      </w:r>
      <w:r>
        <w:rPr>
          <w:rFonts w:ascii="SimSun" w:eastAsia="SimSun" w:hAnsi="SimSun" w:cs="SimSun"/>
        </w:rPr>
        <w:t>年我院本科招生工作，自公布起开始执行。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在招生咨询过程中，我院咨询人员的意见、建议仅作为考生填报志愿的参考，不属学校录取承诺。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咨询、联系方式及录取结果查询方式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http://www.tjtwy.cn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022-23910371(</w:t>
      </w:r>
      <w:r>
        <w:rPr>
          <w:rFonts w:ascii="SimSun" w:eastAsia="SimSun" w:hAnsi="SimSun" w:cs="SimSun"/>
        </w:rPr>
        <w:t>含传真</w:t>
      </w:r>
      <w:r>
        <w:rPr>
          <w:rFonts w:ascii="Times New Roman" w:eastAsia="Times New Roman" w:hAnsi="Times New Roman" w:cs="Times New Roman"/>
        </w:rPr>
        <w:t xml:space="preserve">)    022-23910195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地址：天津市河西区卫津南路</w:t>
      </w:r>
      <w:r>
        <w:rPr>
          <w:rFonts w:ascii="Times New Roman" w:eastAsia="Times New Roman" w:hAnsi="Times New Roman" w:cs="Times New Roman"/>
        </w:rPr>
        <w:t>51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tyzhaoban@163.com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天津医科大学临床医学院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河北工业大学城市学院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35.html" TargetMode="External" /><Relationship Id="rId5" Type="http://schemas.openxmlformats.org/officeDocument/2006/relationships/hyperlink" Target="http://www.gk114.com/a/gxzs/zszc/tianjin/2019/0610/9637.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