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天津商业大学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为确保学校招生工作顺利进行，切实维护学校和考生的合法权益，根据《中华人民共和国教育法》、《中华人民共和国高等教育法》和教育部及天津市招生工作的有关规定，结合学校招生工作实际，制定本章程。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本章程是我校向社会公布2020年普通本科招生信息的主要形式，是社会及考生了解学校有关招生政策、规定及相关信息的主要渠道，是学校开展招生咨询和录取工作的重要依据。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一、学校名称：天津商业大学，英文名称：Tianjin University of Commerce</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三、办学层次：硕士、本科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四、学校代码：10069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五、学校地址：天津市北辰区光荣道409号  邮编：300134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学校招生方式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学校共有54个本科招生专业(方向)（其中17个专业(方向)按6个专业类招生，其余37个按专业招生），按专业类招生的学生执行《天津商业大学按类招生学生选择专业管理办法》。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学校基本情况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天津商业大学原名天津商学院，由国家商业部和天津市人民政府于1980年创建。1998年学校实行中央与地方共建、以地方管理为主的管理体制。2007年学校更名为天津商业大学。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位于天津市北辰区光荣道409号，占地面积近1340亩，建筑面积近51万平方米，教学科研仪器设备总值5.46亿元。图书馆现有中外文藏书214.55万册，每年订阅中外文报刊1140种（册），中外文数据库99个，电子图书508.55万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在校生2.27万余人，设有机械工程学院、经济学院、管理学院、会计学院、生物技术与食品科学学院、法学院、公共管理学院、马克思主义学院、外国语学院、理学院、信息工程学院、国际教育合作学院、艺术学院、高职与继续教育学院14个学院和大学外语教学部、基础课教学部、体育教学部3个教学部。现有59个本科专业（方向），67个硕士点，其中一级学科硕士点10个，专业学位硕士点10个。学校具有推荐优秀应届本科毕业生免试攻读研究生资格，以及港澳台研究生招生资格和同等学力人员申请硕士学位授予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坚持以学科建设为龙头，经济学、管理学、工学、法学、文学、理学、艺术学等学科门类协调发展，相互支撑，具有鲜明的商科特色。动力工程及工程热物理学科入选天津市一流学科建设名单，冷链物流、现代服务业学科群入选天津市特色学科群建设名单。学校现有7个市级重点学科、1个教育部工程研究中心、1个天津市工程中心、2个天津市重点实验室、2个国际联合研究中心，2个天津市人文社会科学重点研究基地、2个天津市高校智库，另建有多个校级研究院、所、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坚持培养具有高度社会责任感、深厚商学素养的复合型应用型创新创业人才，建立起了“意识、知识、能力、体验”四位一体的创新创业教育体系。学校拥有国家级精品资源共享课1门，市级精品课16门。3个专业获批国家级一流本科专业建设点、8个专业获批天津市级一流本科专业建设点。建有4个国家级特色专业，11个天津市品牌专业，5个天津市战略性新兴产业相关专业，8个专业为天津市优势特色专业建设项目，12个专业为天津市应用型专业建设项目。金融学专业为国家级专业综合改革试点专业，食品科学与工程专业为国家第一批卓越农林人才教育培养计划改革试点专业，能源与动力工程专业为天津市综合改革试点专业、天津市“卓越工程师人才培养”试点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建有“国际酒店管理”国家级人才培养模式创新实验区，中国旅游及饭店业优秀人才培养基地，“天津商业大学-烟台冰轮股份有限公司工程实践教育中心”国家大学生校外实践教育基地。拥有国家级实验教学示范中心2个，天津市级实验教学示范中心（含建设单位）10个，天津市级虚拟仿真教学实验中心1个，天津市A级(优秀)高校众创空间1个。近年获市级教学名师奖11人，市级教学创新团队2个，市级教学团队11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坚持实施“人才强校”战略，有一支高水平的师资队伍。现有专任教师972名，其中正高级148名，副高级287名；具有博士学位者447名，硕士学位者448名。拥有教育部长江学者奖励计划特聘教授1人、国家万人计划领军人才1人、享受政府特殊津贴专家4人、“新世纪百千万人才工 程”国家级人选1人、教育部“新世纪优秀人才支持计划”人选3人、天津市有突出贡献专家2人、天津市“131”创新型人才培养第一层次人选9人、天津市“五个一批”人才5人、天津市创新人才推进计划中青年科技创新领军人才1人，天津市“131”创新型人才培养团队1个、天津市高等学校创新团队5个，现有兼职博导19名，合作博导11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坚持国际化发展，推进国际交流与合作，先后与美国、俄罗斯、澳大利亚、加拿大、法国、日本、韩国、罗马尼亚、波兰等国家的30多所高校建立了紧密型合作伙伴关系，开展多种形式的合作交流。与美国佛罗里达国际大学、澳大利亚查理斯特大学、美国东密西根大学等学校开展了本科和硕士研究生层次的合作办学，合作办学项目顺利通过教育部中外合作办学项目评估，酒店管理（中美合作）专业被武汉大学中国教育质量评价中心、中国科学评价研究中心评为2014-2015年、2017-2018年中国酒店管理专业大学竞争力排行榜第一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学校全面贯彻党的教育方针，坚持立德树人根本任务，秉承“育经世之商才，授致用之术业”的办学理念，以“笃学 弘毅 明德 济世”为校训，立足区域性、应用型、商科特色的办学定位，坚持创新发展、协调发展、内涵发展、特色发展、转型发展、开放发展，建设商科特色鲜明、对接社会需求的高水平大学，服务经济社会发展。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学校设立招生委员会，在制订学校招生计划、确定招生政策和规则、决定招生重大事项等方面发挥民主决策和监督作用。招生委员会下设本科招生工作领导小组，负责学校本科招生工作，决定有关本科招生的相关事宜。本科招生工作领导小组下设本科招生工作办公室，是组织和实施本科招生工作的常设机构，具体负责学校本科招生的日常工作。招生过程主动接受市纪委市监委驻校纪检监察组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学校根据发展规划、办学条件、学科发展、生源状况和社会需求，制定面向全国各省（自治区、直辖市）的2020年分专业招生计划，并按照教育部核准下达的具体招生专业、招生人数，在规定时间内寄送到各省（自治区、直辖市）招生部门，同时学校还将通过其他途径向社会公布招生计划。分省分专业招生规模以有关省级招办公布的招生计划为准，预留计划数不超过学校本科招生计划的1%。使用招生计划，坚持集体议事、集体决策、公开透明的原则。在招生录取过程中，对生源人数多、质量好的省（自治区、直辖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学校招生录取工作遵循公平、公正的原则，执行国家教育部和各省（自治区、直辖市）招生委员会制定的招生政策和录取原则以及本章程公布的有关规定，以考生高考成绩（艺术类专业考生为综合成绩）和志愿为主要依据，德、智、体、美、劳全面审核，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院校志愿录取执行所在省（自治区、直辖市）的相关政策。分为平行志愿和顺序志愿两种录取规则。实行平行志愿的省份,执行考生所在省（自治区、直辖市）招生主管部门的录取规定。顺序志愿录取规则：以学校志愿优先为原则，在同一科类、相应批次的省（自治区、直辖市）录取控制分数线上，当第一志愿不满时，提取第二志愿考生档案，依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学校专业志愿录取时依据属地招生部门提供的投档成绩安排专业，由高分到低分依次参照考生填报的专业志愿顺序录取（如投档成绩相同，优先安排相关科目高考成绩分数较高的考生，依次按照数学、语文、外语的成绩，从高分到低分顺序录取），如果考生分数未达到第一专业志愿录取分数，即看是否达到第二专业志愿录取分数，依此类推，直至最后一个专业志愿。在考生所报专业志愿均未被录取的情况下，对服从专业调剂者，可调剂到未录满专业；对不服从调剂者，作退档处理。投档成绩相同需退档时，按照数学、语文、外语顺序依次比较单科成绩，低者做退档处理。上海、浙江、北京、天津、海南、山东等高考改革试点省（区、市）考生须满足我校选考科目要求，投档成绩相同时，按各省（区、市）确定的同分排序规则进行专业录取。江苏省考生执行本章程第十二条之有关规定。内蒙古考生执行本章程第十三条之有关规定。艺术类专业录取执行本章程第二十一条之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专业志愿不设分数级差。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我校普通类专业的学业水平测试要求及对选测科目的要求以我校招生计划公布的为准。对进档考生依照先分数后等级的方式进行录取，如果投档成绩相同，优先录取学业水平测试选测科目等级排序较高者（比较学业水平测试选测科目等级时，先比较A+等级个数，如相同，再比较A等级个数，依此类推）。如选测科目等级再相同，优先录取相关科目成绩较高的考生（依次按照数学、语文、外语的成绩，从高分到低分顺序录取）。艺术类考生的录取执行本章程第二十一条之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内蒙古自治区的考生依照“招生计划1:1范围内按专业志愿排队录取”的录取原则录取，如条件相同，优先录取相关科目成绩较高的考生（依次按照数学、语文、外语的成绩，从高分到低分顺序录取）。艺术类考生的录取执行本章程第二十一条之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在实行高考综合改革试点的上海、浙江、北京、天津、海南、山东等省（区、市）的招生录取工作，按照各省公布的改革方案及有关办法执行。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我校酒店管理（中美合作）专业、财务管理（中澳合作）专业在同一省份同一录取批次未单列招生院校代码或未单设投档单位的，只招收有该专业志愿的考生；我校酒店管理（中美合作）专业、财务管理（中澳合作）专业在同一省份同一录取批次单列招生院校代码或单设投档单位的，招收有专业志愿的考生或填报服从调剂专业志愿的考生；我校酒店管理（中美合作）专业、财务管理（中澳合作）专业招生计划与我校其他招生专业计划在同一省份安排在不同录取批次的，招收有专业志愿的考生或填报服从调剂专业志愿的考生。在实施考试招生制度综合改革的省市(上海、北京、天津、海南等省)，我校酒店管理（中美合作）专业、财务管理（中澳合作）专业招生计划与我校其他招生专业计划安排在不同院校专业组的，招收有专业志愿的考生或填报服从调剂专业志愿的考生。学校上述两合作办学项目根据项目办学要求和专业人才培养目标分别对学生本科阶段学业制定详细规则要求，具体要求执行学校两合作办学项目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加分政策按照教育部有关规定执行。用于录取及专业安排的高考成绩，以各省招办的投档成绩为准，未加入投档成绩的其他政策加分不计算在内。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学校各招生专业均设有双语（汉语和英语）教学专业课程，英语是第一外语语种（日语专业除外），小语种考生慎重填报。我校英语专业只招收英语语种考生；日语专业招收英语、日语语种考生。酒店管理（中美合作）、财务管理（中澳合作）专业学生在校学习期间专业课程以英文授课为</w:t>
      </w:r>
      <w:r>
        <w:rPr>
          <w:rFonts w:ascii="Microsoft YaHei" w:eastAsia="Microsoft YaHei" w:hAnsi="Microsoft YaHei" w:cs="Microsoft YaHei"/>
          <w:b/>
          <w:bCs/>
          <w:color w:val="666666"/>
          <w:sz w:val="21"/>
          <w:szCs w:val="21"/>
        </w:rPr>
        <w:t>主</w:t>
      </w:r>
      <w:r>
        <w:rPr>
          <w:rFonts w:ascii="Microsoft YaHei" w:eastAsia="Microsoft YaHei" w:hAnsi="Microsoft YaHei" w:cs="Microsoft YaHei"/>
          <w:color w:val="666666"/>
          <w:sz w:val="21"/>
          <w:szCs w:val="21"/>
        </w:rPr>
        <w:t>，</w:t>
      </w:r>
      <w:r>
        <w:rPr>
          <w:rFonts w:ascii="Microsoft YaHei" w:eastAsia="Microsoft YaHei" w:hAnsi="Microsoft YaHei" w:cs="Microsoft YaHei"/>
          <w:b/>
          <w:bCs/>
          <w:color w:val="666666"/>
          <w:sz w:val="21"/>
          <w:szCs w:val="21"/>
        </w:rPr>
        <w:t>且酒店管理（中美合作）专业学生在本科前两年基础课学习阶段须达到美国合作学校（FIU）所要求的托福IBT考试成绩或雅思考试成绩或FIU认可的布罗德学院（Broward College）开设的四门学术英语写作课程成绩（即可免托福或雅思要求），方可进入该项目后两年专业课阶段学习；财务管理（中澳合作）专业学生在本科学习期间需取得总分不低于6.0的雅思成绩方可注册进入澳方专业课程学习。我校两个中外合作办学专业对学生英语水平要求较高，</w:t>
      </w:r>
      <w:r>
        <w:rPr>
          <w:rFonts w:ascii="Microsoft YaHei" w:eastAsia="Microsoft YaHei" w:hAnsi="Microsoft YaHei" w:cs="Microsoft YaHei"/>
          <w:b/>
          <w:bCs/>
          <w:color w:val="666666"/>
          <w:sz w:val="21"/>
          <w:szCs w:val="21"/>
        </w:rPr>
        <w:t>小语种考生和高考英语单科成绩未达到满分三分之二的英语语种考生慎重填报。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收费标准：文科类专业学费4400元/生、年；理工外语类专业学费5400元/生、年；设计学类专业学费12000元/生、年，绘画、动画专业学费15000元/生、年；旅游管理（高尔夫经营管理方向）专业学费4400元/生、年（不含训练费）；酒店管理（中美合作）专业学费28000元/生、年；财务管理（中澳合作）专业学费25000元/生、年。住宿费：3-4人间每生每学年1200元；5-6人间每生每学年1000元；7-8人间每生每学年800元。各专业收费标准详见省（自治区、直辖市）招生委员会公布的招生计划表或学校寄发的新生入学手册。如政府对本年度收费标准进行调整，以政府规定的标准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学校录取考生无男女生比例限制。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依照教育部、卫生部、中国残疾人联合会颁布的《普通高等学校招生体检工作指导意见》，对不符合标准的，按《普通高等学校招生体检工作指导意见》的相关规定进行处理。学校宝石及材料工艺学专业对学生色觉有要求，色盲及色弱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艺术类考生的录取原则为：学校只录取省（自治区、直辖市）统考专业测试成绩达到生源所在省（自治区、直辖市）本科报考资格的考生；学校录取的考生需文化课高考成绩达到生源所在省（自治区、直辖市）艺术类本科录取控制分数线及以上；学校录取时根据招生计划，德、智、体、美、劳全面考核，按综合成绩（综合成绩=文化课高考成绩×50%+省级专业统考成绩×50%）从高分到低分择优录取，</w:t>
      </w:r>
      <w:r>
        <w:rPr>
          <w:rFonts w:ascii="Microsoft YaHei" w:eastAsia="Microsoft YaHei" w:hAnsi="Microsoft YaHei" w:cs="Microsoft YaHei"/>
          <w:b/>
          <w:bCs/>
          <w:color w:val="666666"/>
          <w:sz w:val="21"/>
          <w:szCs w:val="21"/>
        </w:rPr>
        <w:t>综合成绩相同时优先录取文化课高考成绩较高的考生，综合成绩与文化课高考成绩均相同时,优先录取文化课高考相关科目成绩较高的考生（依次按照数学、语文、外语的成绩，从高分到低分顺序录取）。各省院校志愿投档时,如省投档成绩与我校录取所使用综合成绩计算方式不同，按照省投档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录取过程中，学校自觉接受各省（自治区、直辖市）招生委员会、纪检监察部门、考生和社会舆论的监督。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学生管理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学校录取的新生，经各省（自治区、直辖市）招生主管部门审核批准后，以特快专递方式发放录取通知书，同时以多种渠道及时向社会公布录取结果。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按国家招生规定录取的新生，持录取通知书，按学校有关要求和规定的期限到校办理入学手续。因故不能按期入学的，应当向学校请假，未请假或请假逾期的，除因不可抗力等正当事由以外，视为放弃入学资格。应征入伍新生应按学校相关规定，在规定时间内与学校办理保留入学资格手续。学校在报到时对新生入学资格进行初步审查，审查合格的办理入学手续，予以注册学籍；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对取得学籍的学生，学校将依据《天津商业大学学生管理规定》等进行管理，按专业培养方案对学生进行培养。学生完成规定学业经审查达到毕业标准者，颁发天津商业大学全日制普通高等学校本科毕业证书，符合天津商业大学学士学位授予工作规定要求的毕业生，授予学士学位，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学校设有多项奖学金。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本章程仅适用于2020年天津商业大学本科招生工作。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我校在实施考试招生制度综合改革省市的招生专业（类）对考试科目要求，综合素质档案的使用办法以当地教育招生考试部门及我校官方网站公示为准。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  联合培养录取学生按照学校与学生签订协议执行。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　本章程经天津商业大学本科招生工作领导小组审议通过，报上级主管部门审核。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　本章程自公布之日起执行。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　在招生咨询过程中学校咨询人员的意见、建议仅作为考生填报志愿的参考，不作为学校录取承诺。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　本章程由天津商业大学本科招生工作办公室负责解释。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第三十四条  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通讯地址：天津市北辰区光荣道409号(邮政编码：300134)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咨询电话：022-26656785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招生网址：</w:t>
      </w:r>
      <w:hyperlink r:id="rId4" w:history="1">
        <w:r>
          <w:rPr>
            <w:rFonts w:ascii="Microsoft YaHei" w:eastAsia="Microsoft YaHei" w:hAnsi="Microsoft YaHei" w:cs="Microsoft YaHei"/>
            <w:color w:val="666666"/>
            <w:sz w:val="21"/>
            <w:szCs w:val="21"/>
            <w:u w:val="single" w:color="666666"/>
          </w:rPr>
          <w:t>http://zs.tjcu.edu.cn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招办官微：TS022-26656785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电子邮箱：</w:t>
      </w:r>
      <w:hyperlink r:id="rId5" w:history="1">
        <w:r>
          <w:rPr>
            <w:rFonts w:ascii="Microsoft YaHei" w:eastAsia="Microsoft YaHei" w:hAnsi="Microsoft YaHei" w:cs="Microsoft YaHei"/>
            <w:b/>
            <w:bCs/>
            <w:color w:val="666666"/>
            <w:sz w:val="21"/>
            <w:szCs w:val="21"/>
            <w:u w:val="single" w:color="666666"/>
          </w:rPr>
          <w:t>tszsb@tjcu.edu.cn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5.html" TargetMode="External" /><Relationship Id="rId11" Type="http://schemas.openxmlformats.org/officeDocument/2006/relationships/hyperlink" Target="http://www.gk114.com/a/gxzs/zszc/tianjin/2022/0529/22584.html" TargetMode="External" /><Relationship Id="rId12" Type="http://schemas.openxmlformats.org/officeDocument/2006/relationships/hyperlink" Target="http://www.gk114.com/a/gxzs/zszc/tianjin/2022/0529/22583.html" TargetMode="External" /><Relationship Id="rId13" Type="http://schemas.openxmlformats.org/officeDocument/2006/relationships/hyperlink" Target="http://www.gk114.com/a/gxzs/zszc/tianjin/2022/0529/22582.html" TargetMode="External" /><Relationship Id="rId14" Type="http://schemas.openxmlformats.org/officeDocument/2006/relationships/hyperlink" Target="http://www.gk114.com/a/gxzs/zszc/tianjin/2022/0529/22581.html" TargetMode="External" /><Relationship Id="rId15" Type="http://schemas.openxmlformats.org/officeDocument/2006/relationships/hyperlink" Target="http://www.gk114.com/a/gxzs/zszc/tianjin/2022/0529/22580.html" TargetMode="External" /><Relationship Id="rId16" Type="http://schemas.openxmlformats.org/officeDocument/2006/relationships/hyperlink" Target="http://www.gk114.com/a/gxzs/zszc/tianjin/2022/0529/22579.html" TargetMode="External" /><Relationship Id="rId17" Type="http://schemas.openxmlformats.org/officeDocument/2006/relationships/hyperlink" Target="http://www.gk114.com/a/gxzs/zszc/tianjin/2022/0529/22578.html" TargetMode="External" /><Relationship Id="rId18" Type="http://schemas.openxmlformats.org/officeDocument/2006/relationships/hyperlink" Target="http://www.gk114.com/a/gxzs/zszc/tianjin/2022/0529/22577.html" TargetMode="External" /><Relationship Id="rId19" Type="http://schemas.openxmlformats.org/officeDocument/2006/relationships/hyperlink" Target="http://www.gk114.com/a/gxzs/zszc/tianjin/2019/0221/6376.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tjcu.edu.cn/" TargetMode="External" /><Relationship Id="rId5" Type="http://schemas.openxmlformats.org/officeDocument/2006/relationships/hyperlink" Target="mailto:tszsb@tjcu.edu.cn" TargetMode="External" /><Relationship Id="rId6" Type="http://schemas.openxmlformats.org/officeDocument/2006/relationships/hyperlink" Target="http://www.gk114.com/a/gxzs/zszc/tianjin/2020/0621/16914.html" TargetMode="External" /><Relationship Id="rId7" Type="http://schemas.openxmlformats.org/officeDocument/2006/relationships/hyperlink" Target="http://www.gk114.com/a/gxzs/zszc/tianjin/2020/0621/16916.html" TargetMode="External" /><Relationship Id="rId8" Type="http://schemas.openxmlformats.org/officeDocument/2006/relationships/hyperlink" Target="http://www.gk114.com/a/gxzs/zszc/tianjin/" TargetMode="External" /><Relationship Id="rId9" Type="http://schemas.openxmlformats.org/officeDocument/2006/relationships/hyperlink" Target="http://www.gk114.com/a/gxzs/zszc/tianjin/2022/1225/239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