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天津商务职业学院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第一条：根据《中华人民共和国教育法》《中华人民共和国高等教育法》和教育部有关规定，为了维护学校和考生的合法权益，依法招生，结合天津商务职业学院招生工作实际，制定本章程。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第二条：本章程是社会了解天津商务职业学院有关招生政策、规定及相关信息的主要渠道，是天津商务职业学院开展招生咨询和录取工作的主要依据。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一、学校名称：天津商务职业学院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12788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五、学校地址：天津海河教育园区雅观路</w:t>
      </w:r>
      <w:r>
        <w:rPr>
          <w:rFonts w:ascii="Times New Roman" w:eastAsia="Times New Roman" w:hAnsi="Times New Roman" w:cs="Times New Roman"/>
        </w:rPr>
        <w:t>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天津商务职业学院是经天津市人民政府批准、国家教育部备案的全日制普通高等职业院校，始建于</w:t>
      </w:r>
      <w:r>
        <w:rPr>
          <w:rFonts w:ascii="Times New Roman" w:eastAsia="Times New Roman" w:hAnsi="Times New Roman" w:cs="Times New Roman"/>
        </w:rPr>
        <w:t>1955</w:t>
      </w:r>
      <w:r>
        <w:rPr>
          <w:rFonts w:ascii="SimSun" w:eastAsia="SimSun" w:hAnsi="SimSun" w:cs="SimSun"/>
        </w:rPr>
        <w:t>年。学校坚持以习近平新时代中国特色社会主义思想为指引，以办好人民满意的教育为宗旨，以立德树人为根本，秉承</w:t>
      </w:r>
      <w:r>
        <w:rPr>
          <w:rFonts w:ascii="Times New Roman" w:eastAsia="Times New Roman" w:hAnsi="Times New Roman" w:cs="Times New Roman"/>
        </w:rPr>
        <w:t>“</w:t>
      </w:r>
      <w:r>
        <w:rPr>
          <w:rFonts w:ascii="SimSun" w:eastAsia="SimSun" w:hAnsi="SimSun" w:cs="SimSun"/>
        </w:rPr>
        <w:t>厚德尚能</w:t>
      </w:r>
      <w:r>
        <w:rPr>
          <w:rFonts w:ascii="Times New Roman" w:eastAsia="Times New Roman" w:hAnsi="Times New Roman" w:cs="Times New Roman"/>
        </w:rPr>
        <w:t xml:space="preserve"> </w:t>
      </w:r>
      <w:r>
        <w:rPr>
          <w:rFonts w:ascii="SimSun" w:eastAsia="SimSun" w:hAnsi="SimSun" w:cs="SimSun"/>
        </w:rPr>
        <w:t>励学弘商</w:t>
      </w:r>
      <w:r>
        <w:rPr>
          <w:rFonts w:ascii="Times New Roman" w:eastAsia="Times New Roman" w:hAnsi="Times New Roman" w:cs="Times New Roman"/>
        </w:rPr>
        <w:t>”</w:t>
      </w:r>
      <w:r>
        <w:rPr>
          <w:rFonts w:ascii="SimSun" w:eastAsia="SimSun" w:hAnsi="SimSun" w:cs="SimSun"/>
        </w:rPr>
        <w:t>的校训，积累了丰富的办学经验，形成了鲜明的办学特色，成为一所系统培养现代服务业高技能人才的天津市首批高职示范校。迄今，已为国家培养了</w:t>
      </w:r>
      <w:r>
        <w:rPr>
          <w:rFonts w:ascii="Times New Roman" w:eastAsia="Times New Roman" w:hAnsi="Times New Roman" w:cs="Times New Roman"/>
        </w:rPr>
        <w:t>15</w:t>
      </w:r>
      <w:r>
        <w:rPr>
          <w:rFonts w:ascii="SimSun" w:eastAsia="SimSun" w:hAnsi="SimSun" w:cs="SimSun"/>
        </w:rPr>
        <w:t>万余名毕业生，很多已成为企业骨干，商界精英。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学校现有海河教育园校区、河东校区及河西校区三个校区，</w:t>
      </w:r>
      <w:r>
        <w:rPr>
          <w:rFonts w:ascii="Times New Roman" w:eastAsia="Times New Roman" w:hAnsi="Times New Roman" w:cs="Times New Roman"/>
        </w:rPr>
        <w:t xml:space="preserve"> </w:t>
      </w:r>
      <w:r>
        <w:rPr>
          <w:rFonts w:ascii="SimSun" w:eastAsia="SimSun" w:hAnsi="SimSun" w:cs="SimSun"/>
        </w:rPr>
        <w:t>总占地面积</w:t>
      </w:r>
      <w:r>
        <w:rPr>
          <w:rFonts w:ascii="Times New Roman" w:eastAsia="Times New Roman" w:hAnsi="Times New Roman" w:cs="Times New Roman"/>
        </w:rPr>
        <w:t>50</w:t>
      </w:r>
      <w:r>
        <w:rPr>
          <w:rFonts w:ascii="SimSun" w:eastAsia="SimSun" w:hAnsi="SimSun" w:cs="SimSun"/>
        </w:rPr>
        <w:t>万平方米，建筑面积</w:t>
      </w:r>
      <w:r>
        <w:rPr>
          <w:rFonts w:ascii="Times New Roman" w:eastAsia="Times New Roman" w:hAnsi="Times New Roman" w:cs="Times New Roman"/>
        </w:rPr>
        <w:t>22</w:t>
      </w:r>
      <w:r>
        <w:rPr>
          <w:rFonts w:ascii="SimSun" w:eastAsia="SimSun" w:hAnsi="SimSun" w:cs="SimSun"/>
        </w:rPr>
        <w:t>万平方米，被评为天津市最美校园（高职组）第一名。学校设有</w:t>
      </w:r>
      <w:r>
        <w:rPr>
          <w:rFonts w:ascii="Times New Roman" w:eastAsia="Times New Roman" w:hAnsi="Times New Roman" w:cs="Times New Roman"/>
        </w:rPr>
        <w:t>8</w:t>
      </w:r>
      <w:r>
        <w:rPr>
          <w:rFonts w:ascii="SimSun" w:eastAsia="SimSun" w:hAnsi="SimSun" w:cs="SimSun"/>
        </w:rPr>
        <w:t>个二级专业教学学院和</w:t>
      </w:r>
      <w:r>
        <w:rPr>
          <w:rFonts w:ascii="Times New Roman" w:eastAsia="Times New Roman" w:hAnsi="Times New Roman" w:cs="Times New Roman"/>
        </w:rPr>
        <w:t>4</w:t>
      </w:r>
      <w:r>
        <w:rPr>
          <w:rFonts w:ascii="SimSun" w:eastAsia="SimSun" w:hAnsi="SimSun" w:cs="SimSun"/>
        </w:rPr>
        <w:t>个教学部，分别是国际贸易学院、应用外语学院、营销学院、会计学院、信息技术学院、旅游学院、广告学院、金融学院、马列教学部、体育教学部、公共外语教学部、德育教学部。学校现有全日制在校生</w:t>
      </w:r>
      <w:r>
        <w:rPr>
          <w:rFonts w:ascii="Times New Roman" w:eastAsia="Times New Roman" w:hAnsi="Times New Roman" w:cs="Times New Roman"/>
        </w:rPr>
        <w:t>11090</w:t>
      </w:r>
      <w:r>
        <w:rPr>
          <w:rFonts w:ascii="SimSun" w:eastAsia="SimSun" w:hAnsi="SimSun" w:cs="SimSun"/>
        </w:rPr>
        <w:t>人。学校教职工</w:t>
      </w:r>
      <w:r>
        <w:rPr>
          <w:rFonts w:ascii="Times New Roman" w:eastAsia="Times New Roman" w:hAnsi="Times New Roman" w:cs="Times New Roman"/>
        </w:rPr>
        <w:t>494</w:t>
      </w:r>
      <w:r>
        <w:rPr>
          <w:rFonts w:ascii="SimSun" w:eastAsia="SimSun" w:hAnsi="SimSun" w:cs="SimSun"/>
        </w:rPr>
        <w:t>人，其中专任教师</w:t>
      </w:r>
      <w:r>
        <w:rPr>
          <w:rFonts w:ascii="Times New Roman" w:eastAsia="Times New Roman" w:hAnsi="Times New Roman" w:cs="Times New Roman"/>
        </w:rPr>
        <w:t>377</w:t>
      </w:r>
      <w:r>
        <w:rPr>
          <w:rFonts w:ascii="SimSun" w:eastAsia="SimSun" w:hAnsi="SimSun" w:cs="SimSun"/>
        </w:rPr>
        <w:t>人，副高级及以上专业技术职称教师</w:t>
      </w:r>
      <w:r>
        <w:rPr>
          <w:rFonts w:ascii="Times New Roman" w:eastAsia="Times New Roman" w:hAnsi="Times New Roman" w:cs="Times New Roman"/>
        </w:rPr>
        <w:t>167</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不断改革创新人才培养模式，形成了具有鲜明现代服务业特色的商科专业体系，积极推进产教融合、校企合作，建设了一批国内领先的实训实践基地，建成承载多专业、多岗位、全业务流程的综合实训平台，学生不出校门就能得到全方位的就业创业体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学校是教育部与天津市人民政府共建的</w:t>
      </w:r>
      <w:r>
        <w:rPr>
          <w:rFonts w:ascii="Times New Roman" w:eastAsia="Times New Roman" w:hAnsi="Times New Roman" w:cs="Times New Roman"/>
        </w:rPr>
        <w:t>“</w:t>
      </w:r>
      <w:r>
        <w:rPr>
          <w:rFonts w:ascii="SimSun" w:eastAsia="SimSun" w:hAnsi="SimSun" w:cs="SimSun"/>
        </w:rPr>
        <w:t>滨海新区技能型紧缺人才培养基地</w:t>
      </w:r>
      <w:r>
        <w:rPr>
          <w:rFonts w:ascii="Times New Roman" w:eastAsia="Times New Roman" w:hAnsi="Times New Roman" w:cs="Times New Roman"/>
        </w:rPr>
        <w:t>”</w:t>
      </w:r>
      <w:r>
        <w:rPr>
          <w:rFonts w:ascii="SimSun" w:eastAsia="SimSun" w:hAnsi="SimSun" w:cs="SimSun"/>
        </w:rPr>
        <w:t>，天津市服务外包人才培训基地，天津市</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建设境外安全保障基地，海河教育园区大学生创新创业商务服务基地，教育部职业院校外语类专业教学指导委员会副主任委员校，牵头组建天津市商务行业职业教育教学指导委员会，商务职教集团被认定为全国示范性职业教育集团（联盟）培育单位。学校是天津市</w:t>
      </w:r>
      <w:r>
        <w:rPr>
          <w:rFonts w:ascii="Times New Roman" w:eastAsia="Times New Roman" w:hAnsi="Times New Roman" w:cs="Times New Roman"/>
        </w:rPr>
        <w:t>“</w:t>
      </w:r>
      <w:r>
        <w:rPr>
          <w:rFonts w:ascii="SimSun" w:eastAsia="SimSun" w:hAnsi="SimSun" w:cs="SimSun"/>
        </w:rPr>
        <w:t>十一五</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高水平示范校和</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世界先进水平高职院校立项建设单位，获全国</w:t>
      </w:r>
      <w:r>
        <w:rPr>
          <w:rFonts w:ascii="Times New Roman" w:eastAsia="Times New Roman" w:hAnsi="Times New Roman" w:cs="Times New Roman"/>
        </w:rPr>
        <w:t>“</w:t>
      </w:r>
      <w:r>
        <w:rPr>
          <w:rFonts w:ascii="SimSun" w:eastAsia="SimSun" w:hAnsi="SimSun" w:cs="SimSun"/>
        </w:rPr>
        <w:t>黄炎培优秀学校奖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学校与摩洛哥阿伊</w:t>
      </w:r>
      <w:r>
        <w:rPr>
          <w:rFonts w:ascii="Times New Roman" w:eastAsia="Times New Roman" w:hAnsi="Times New Roman" w:cs="Times New Roman"/>
        </w:rPr>
        <w:t xml:space="preserve"> </w:t>
      </w:r>
      <w:r>
        <w:rPr>
          <w:rFonts w:ascii="SimSun" w:eastAsia="SimSun" w:hAnsi="SimSun" w:cs="SimSun"/>
        </w:rPr>
        <w:t>阿萨尼</w:t>
      </w:r>
      <w:r>
        <w:rPr>
          <w:rFonts w:ascii="Times New Roman" w:eastAsia="Times New Roman" w:hAnsi="Times New Roman" w:cs="Times New Roman"/>
        </w:rPr>
        <w:t xml:space="preserve"> 1 </w:t>
      </w:r>
      <w:r>
        <w:rPr>
          <w:rFonts w:ascii="SimSun" w:eastAsia="SimSun" w:hAnsi="SimSun" w:cs="SimSun"/>
        </w:rPr>
        <w:t>应用技术学院合作建成摩洛哥鲁班工坊，先后与澳大利亚、英国、美国、丹麦、韩国、乌克兰、加拿大等国家的院校建立了友好合作关系，定期互派师生开展研修交流、教育合作、境外实习实训等活动。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第四条：学校设有招生委员会，全面负责学校招生工作，制定招生政策、招生计划，决定有关招生的重大事宜。在学校教务处下设招生办公室，组织和实施招生的日常工作。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第五条：学校招生录取工作在学校纪委的监督指导下有序开展，自觉接受各省、自治区、市招生委员会、纪检监察部门、考生和社会各界的监督。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w:t>
      </w:r>
      <w:r>
        <w:rPr>
          <w:rFonts w:ascii="Times New Roman" w:eastAsia="Times New Roman" w:hAnsi="Times New Roman" w:cs="Times New Roman"/>
        </w:rPr>
        <w:t>2022</w:t>
      </w:r>
      <w:r>
        <w:rPr>
          <w:rFonts w:ascii="SimSun" w:eastAsia="SimSun" w:hAnsi="SimSun" w:cs="SimSun"/>
        </w:rPr>
        <w:t>年面向全国</w:t>
      </w:r>
      <w:r>
        <w:rPr>
          <w:rFonts w:ascii="Times New Roman" w:eastAsia="Times New Roman" w:hAnsi="Times New Roman" w:cs="Times New Roman"/>
        </w:rPr>
        <w:t>27</w:t>
      </w:r>
      <w:r>
        <w:rPr>
          <w:rFonts w:ascii="SimSun" w:eastAsia="SimSun" w:hAnsi="SimSun" w:cs="SimSun"/>
        </w:rPr>
        <w:t>个省、自治区、直辖市招生，并按照教育部核准下达的具体招生专业、招生人数，在规定时间内报送到各省、自治区、直辖市招生委员会向社会公布；同时学校也通过不同渠道向社会公布。在招生录取过程中，经学校招生委员会同意，并报上级主管部门批准，对生源好、志愿足、录取分数高的省、自治区、直辖市的招生计划作适当调整。分省招生计划详见考生所在省、自治区、直辖市</w:t>
      </w:r>
      <w:r>
        <w:rPr>
          <w:rFonts w:ascii="Times New Roman" w:eastAsia="Times New Roman" w:hAnsi="Times New Roman" w:cs="Times New Roman"/>
        </w:rPr>
        <w:t>2022</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第七条：收费标准。普通类专业学费：一般专业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年。住宿收费标准：</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人间）。如以上学费标准进行调整，按照最终物价部门批准的文件执行。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志愿实行顺序志愿的省（区、市），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的省份，录取以所在地省级招生主管部门规定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专业志愿录取以分数优先为原则，即先按高分到低分排队，依次按照考生填报的专业志愿顺序录取，如考生分数未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如考生所在省、自治区、直辖市招生主管部门对专业志愿有相关规定，则按照考生所在省、自治区、直辖市招生主管部门规定执行。内蒙古自治区普通类专业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我校在实行高考综合改革试点的省（区、市）的招生录取工作，按照各省公布的改革方案及有关办法执行。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出现同分考生，则优先录取专业课成绩较高者，如专业课成绩仍相同，则依次比较文化课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第十二条：对政策加分考生的录取，按照教育部规定的实行属地化管理的原则，执行考生所在省、自治区、直辖市招生委员会制定的加分政策和录取规定。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投档成绩相同时，优先录取获得省级优秀学生、优秀学生干部、三好学生等荣誉称号以及英语、语文单科分数较高的考生（天津考生参考第十四条；其他省、区、市如果明确同分排序录取规则，按各省、区、市录取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第十七条：学校公共外语课程均为英语，小语种考生慎重填报。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第十八条：学校在接到各省、自治区、直辖市招办核准备案的录取考生名单后以</w:t>
      </w:r>
      <w:r>
        <w:rPr>
          <w:rFonts w:ascii="Times New Roman" w:eastAsia="Times New Roman" w:hAnsi="Times New Roman" w:cs="Times New Roman"/>
        </w:rPr>
        <w:t xml:space="preserve"> EMS</w:t>
      </w:r>
      <w:r>
        <w:rPr>
          <w:rFonts w:ascii="SimSun" w:eastAsia="SimSun" w:hAnsi="SimSun" w:cs="SimSun"/>
        </w:rPr>
        <w:t>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按国家招生规定录取的新生，持录取通知书及本人身份证按学校规定的期限到学校办理入学手续。应征入伍的新生按国家政策，在学校规定时间内办理保留入学资格。因故不能按期入学者，应当向学校请假。未请假或者请假逾期者，除因不可抗力等正当事由以外，视为放弃入学资格。具体报到要求见</w:t>
      </w:r>
      <w:r>
        <w:rPr>
          <w:rFonts w:ascii="Times New Roman" w:eastAsia="Times New Roman" w:hAnsi="Times New Roman" w:cs="Times New Roman"/>
        </w:rPr>
        <w:t>2022</w:t>
      </w:r>
      <w:r>
        <w:rPr>
          <w:rFonts w:ascii="SimSun" w:eastAsia="SimSun" w:hAnsi="SimSun" w:cs="SimSun"/>
        </w:rPr>
        <w:t>年天津商务职业学院《新生报到须知》。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第二十条：学校在报到时对新生入学资格进行初步审查，审查合格的办理入学手续，予以注册学籍；复查中发现学生存在弄虚作假、冒名顶替等情形的，确定为复查不合格，予以取消学籍。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第二十一条：学校依据《天津商务职业学院学籍管理规定》等规章制度对学生进行管理；按专业人才培养方案对学生进行培养。转专业政策执行《天津商务职业学院学生转专业管理办法（试行）》。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第二十二条：对于录取到按专业大类招生的金融类专业的考生，在学期间结合其本人志愿、考试成绩、综合素质测评情况等在第二学年进行专业分流。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第二十三条：学校设有各级各类奖、助学金，执行国家助学贷款，并为贫困生设置多种形式的勤工助学岗位。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第二十四条：学生完成规定学业经审查达到毕业标准的，颁发天津商务职业学院全日制普通高等学校专科毕业证书。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第二十五条：本章程仅适用于</w:t>
      </w:r>
      <w:r>
        <w:rPr>
          <w:rFonts w:ascii="Times New Roman" w:eastAsia="Times New Roman" w:hAnsi="Times New Roman" w:cs="Times New Roman"/>
        </w:rPr>
        <w:t>2022</w:t>
      </w:r>
      <w:r>
        <w:rPr>
          <w:rFonts w:ascii="SimSun" w:eastAsia="SimSun" w:hAnsi="SimSun" w:cs="SimSun"/>
        </w:rPr>
        <w:t>年天津商务职业学院高职招生工作。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第二十六条：本章程经天津商务职业学院招生委员会审查通过，报上级主管部门审核。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第二十七条：本章程自公布之日起开始执行。凡以前天津商务职业学院有关高职招生工作的政策、规定与本章程不一致的，一律废止，均以本章程规定为准。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第二十八条：本章程由天津商务职业学院招生委员会办公室负责解释。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59655460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59655318</w:t>
      </w:r>
      <w:r>
        <w:rPr>
          <w:rFonts w:ascii="SimSun" w:eastAsia="SimSun" w:hAnsi="SimSun" w:cs="SimSun"/>
        </w:rPr>
        <w:t>（纪委办公室）邮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咨询地点：天津海河教育园区雅观路</w:t>
      </w:r>
      <w:r>
        <w:rPr>
          <w:rFonts w:ascii="Times New Roman" w:eastAsia="Times New Roman" w:hAnsi="Times New Roman" w:cs="Times New Roman"/>
        </w:rPr>
        <w:t>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Q Q </w:t>
      </w:r>
      <w:r>
        <w:rPr>
          <w:rFonts w:ascii="SimSun" w:eastAsia="SimSun" w:hAnsi="SimSun" w:cs="SimSun"/>
        </w:rPr>
        <w:t>群号：</w:t>
      </w:r>
      <w:r>
        <w:rPr>
          <w:rFonts w:ascii="Times New Roman" w:eastAsia="Times New Roman" w:hAnsi="Times New Roman" w:cs="Times New Roman"/>
        </w:rPr>
        <w:t xml:space="preserve">295142103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www.tcc1955.edu.cn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tifert_zhaosheng@126.com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9.html" TargetMode="External" /><Relationship Id="rId11" Type="http://schemas.openxmlformats.org/officeDocument/2006/relationships/hyperlink" Target="http://www.gk114.com/a/gxzs/zszc/tianjin/2022/0529/22578.html" TargetMode="External" /><Relationship Id="rId12" Type="http://schemas.openxmlformats.org/officeDocument/2006/relationships/hyperlink" Target="http://www.gk114.com/a/gxzs/zszc/tianjin/2022/0529/22577.html" TargetMode="External" /><Relationship Id="rId13" Type="http://schemas.openxmlformats.org/officeDocument/2006/relationships/hyperlink" Target="http://www.gk114.com/a/gxzs/zszc/tianjin/2022/0529/22576.html" TargetMode="External" /><Relationship Id="rId14" Type="http://schemas.openxmlformats.org/officeDocument/2006/relationships/hyperlink" Target="http://www.gk114.com/a/gxzs/zszc/tianjin/2022/0529/22575.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2/0529/22580.html" TargetMode="External" /><Relationship Id="rId5" Type="http://schemas.openxmlformats.org/officeDocument/2006/relationships/hyperlink" Target="http://www.gk114.com/a/gxzs/zszc/tianjin/2022/0529/2258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