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天津城市建设管理职业技术学院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根据《中华人民共和国教育法》和《中华人民共和国高等教育法》等相关法律法规，为了维护学院和考生的合法权益，依法招生，结合学院招生工作实际，制定本章程。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、学院名称：天津城市建设管理职业技术学院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、学院代码：</w:t>
      </w:r>
      <w:r>
        <w:rPr>
          <w:rFonts w:ascii="Times New Roman" w:eastAsia="Times New Roman" w:hAnsi="Times New Roman" w:cs="Times New Roman"/>
        </w:rPr>
        <w:t xml:space="preserve">14020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、学院地址：天津市北辰区龙泉道</w:t>
      </w:r>
      <w:r>
        <w:rPr>
          <w:rFonts w:ascii="Times New Roman" w:eastAsia="Times New Roman" w:hAnsi="Times New Roman" w:cs="Times New Roman"/>
        </w:rPr>
        <w:t>2889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天津城市建设管理职业技术学院是经天津市人民政府批准、国家教育部备案</w:t>
      </w:r>
      <w:r>
        <w:rPr>
          <w:rFonts w:ascii="Times New Roman" w:eastAsia="Times New Roman" w:hAnsi="Times New Roman" w:cs="Times New Roman"/>
        </w:rPr>
        <w:t>,</w:t>
      </w:r>
      <w:r>
        <w:rPr>
          <w:rFonts w:ascii="SimSun" w:eastAsia="SimSun" w:hAnsi="SimSun" w:cs="SimSun"/>
        </w:rPr>
        <w:t>面向全国招生的公办全日制高等职业院校，是天津市</w:t>
      </w:r>
      <w:r>
        <w:rPr>
          <w:rFonts w:ascii="Times New Roman" w:eastAsia="Times New Roman" w:hAnsi="Times New Roman" w:cs="Times New Roman"/>
        </w:rPr>
        <w:t>“</w:t>
      </w:r>
      <w:r>
        <w:rPr>
          <w:rFonts w:ascii="SimSun" w:eastAsia="SimSun" w:hAnsi="SimSun" w:cs="SimSun"/>
        </w:rPr>
        <w:t>提升办学能力国内一流优质校</w:t>
      </w:r>
      <w:r>
        <w:rPr>
          <w:rFonts w:ascii="Times New Roman" w:eastAsia="Times New Roman" w:hAnsi="Times New Roman" w:cs="Times New Roman"/>
        </w:rPr>
        <w:t>”</w:t>
      </w:r>
      <w:r>
        <w:rPr>
          <w:rFonts w:ascii="SimSun" w:eastAsia="SimSun" w:hAnsi="SimSun" w:cs="SimSun"/>
        </w:rPr>
        <w:t>建设单位、天津市</w:t>
      </w:r>
      <w:r>
        <w:rPr>
          <w:rFonts w:ascii="Times New Roman" w:eastAsia="Times New Roman" w:hAnsi="Times New Roman" w:cs="Times New Roman"/>
        </w:rPr>
        <w:t>“</w:t>
      </w:r>
      <w:r>
        <w:rPr>
          <w:rFonts w:ascii="SimSun" w:eastAsia="SimSun" w:hAnsi="SimSun" w:cs="SimSun"/>
        </w:rPr>
        <w:t>世界先进水平高职院校</w:t>
      </w:r>
      <w:r>
        <w:rPr>
          <w:rFonts w:ascii="Times New Roman" w:eastAsia="Times New Roman" w:hAnsi="Times New Roman" w:cs="Times New Roman"/>
        </w:rPr>
        <w:t>”</w:t>
      </w:r>
      <w:r>
        <w:rPr>
          <w:rFonts w:ascii="SimSun" w:eastAsia="SimSun" w:hAnsi="SimSun" w:cs="SimSun"/>
        </w:rPr>
        <w:t>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学院始建于</w:t>
      </w:r>
      <w:r>
        <w:rPr>
          <w:rFonts w:ascii="Times New Roman" w:eastAsia="Times New Roman" w:hAnsi="Times New Roman" w:cs="Times New Roman"/>
        </w:rPr>
        <w:t>1975</w:t>
      </w:r>
      <w:r>
        <w:rPr>
          <w:rFonts w:ascii="SimSun" w:eastAsia="SimSun" w:hAnsi="SimSun" w:cs="SimSun"/>
        </w:rPr>
        <w:t>年，隶属于国内</w:t>
      </w:r>
      <w:r>
        <w:rPr>
          <w:rFonts w:ascii="Times New Roman" w:eastAsia="Times New Roman" w:hAnsi="Times New Roman" w:cs="Times New Roman"/>
        </w:rPr>
        <w:t>500</w:t>
      </w:r>
      <w:r>
        <w:rPr>
          <w:rFonts w:ascii="SimSun" w:eastAsia="SimSun" w:hAnsi="SimSun" w:cs="SimSun"/>
        </w:rPr>
        <w:t>强的天津能源投资集团有限公司。依托行业优势，以能源、建筑、城市管理三大类专业建设群建设为主，围绕天津区域能源产业强大的综合实力，凸显了行业优势的办学定位，助推了学院多方联动、多元参与、开放共享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学院把人才建设作为重中之重的任务，坚持人才强校战略，以做足做优做特建筑类专业，发展能源类专业，开发城市管理类专业建设为主，开设</w:t>
      </w:r>
      <w:r>
        <w:rPr>
          <w:rFonts w:ascii="Times New Roman" w:eastAsia="Times New Roman" w:hAnsi="Times New Roman" w:cs="Times New Roman"/>
        </w:rPr>
        <w:t>30</w:t>
      </w:r>
      <w:r>
        <w:rPr>
          <w:rFonts w:ascii="SimSun" w:eastAsia="SimSun" w:hAnsi="SimSun" w:cs="SimSun"/>
        </w:rPr>
        <w:t>个相关专业。在专业培养方向上，突出体现以</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w:t>
      </w:r>
      <w:r>
        <w:rPr>
          <w:rFonts w:ascii="SimSun" w:eastAsia="SimSun" w:hAnsi="SimSun" w:cs="SimSun"/>
        </w:rPr>
        <w:t>为根本、以服务发展为宗旨、以促进就业为导向，全面践行全国教育大会精神，着力培养新时代德智体美劳全面发展的社会主义建设者和接班人。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学院着力推行</w:t>
      </w:r>
      <w:r>
        <w:rPr>
          <w:rFonts w:ascii="Times New Roman" w:eastAsia="Times New Roman" w:hAnsi="Times New Roman" w:cs="Times New Roman"/>
        </w:rPr>
        <w:t>“</w:t>
      </w:r>
      <w:r>
        <w:rPr>
          <w:rFonts w:ascii="SimSun" w:eastAsia="SimSun" w:hAnsi="SimSun" w:cs="SimSun"/>
        </w:rPr>
        <w:t>政行企校研</w:t>
      </w:r>
      <w:r>
        <w:rPr>
          <w:rFonts w:ascii="Times New Roman" w:eastAsia="Times New Roman" w:hAnsi="Times New Roman" w:cs="Times New Roman"/>
        </w:rPr>
        <w:t>”</w:t>
      </w:r>
      <w:r>
        <w:rPr>
          <w:rFonts w:ascii="SimSun" w:eastAsia="SimSun" w:hAnsi="SimSun" w:cs="SimSun"/>
        </w:rPr>
        <w:t>五元融合的办学模式，将</w:t>
      </w:r>
      <w:r>
        <w:rPr>
          <w:rFonts w:ascii="Times New Roman" w:eastAsia="Times New Roman" w:hAnsi="Times New Roman" w:cs="Times New Roman"/>
        </w:rPr>
        <w:t>“</w:t>
      </w:r>
      <w:r>
        <w:rPr>
          <w:rFonts w:ascii="SimSun" w:eastAsia="SimSun" w:hAnsi="SimSun" w:cs="SimSun"/>
        </w:rPr>
        <w:t>工匠精神</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担当、守正、有为、共进</w:t>
      </w:r>
      <w:r>
        <w:rPr>
          <w:rFonts w:ascii="Times New Roman" w:eastAsia="Times New Roman" w:hAnsi="Times New Roman" w:cs="Times New Roman"/>
        </w:rPr>
        <w:t>”</w:t>
      </w:r>
      <w:r>
        <w:rPr>
          <w:rFonts w:ascii="SimSun" w:eastAsia="SimSun" w:hAnsi="SimSun" w:cs="SimSun"/>
        </w:rPr>
        <w:t>企业文化贯穿于人才培养的始终。加强产业、行业、企业、职业、专业五业联动，整合资源、效能开放，推动打造职业文化环境，建设美丽校园，促进职业院校文化与优秀企业文化深度融合。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学院坐落于交通生活便利的天津市主城区，校园环境幽雅，建有标准化运动场、室内多功能体育馆、馆藏丰富的图书阅览中心及多个专业虚拟仿真实训中心，为学生提供了完备的学习环境和生活环境。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实施人才强校战略，推动内涵建设，增强核心竞争力，学院拥有一支由在全国有影响力人物，全国教学标兵，劳动模范及一大批师德高尚、治学严谨、勇于创新、具有现代化素养的教师组成的育人团队。为学生提供完整、系统、特色化的职业教育，培养融知识、能力和素质为一体的高素质技术技能人才。学院教师和学生参加各级、各类大赛，获得多个全国及天津市奖项，成绩斐然。</w:t>
      </w:r>
      <w:r>
        <w:rPr>
          <w:rFonts w:ascii="Times New Roman" w:eastAsia="Times New Roman" w:hAnsi="Times New Roman" w:cs="Times New Roman"/>
        </w:rPr>
        <w:t>2018</w:t>
      </w:r>
      <w:r>
        <w:rPr>
          <w:rFonts w:ascii="SimSun" w:eastAsia="SimSun" w:hAnsi="SimSun" w:cs="SimSun"/>
        </w:rPr>
        <w:t>年荣获国家教学成果二等奖、天津市教学成果特等奖、天津市科学技术进步奖二等奖，学生在全国及天津市职业院校技能大赛中荣获多项大奖。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学院实施</w:t>
      </w:r>
      <w:r>
        <w:rPr>
          <w:rFonts w:ascii="Times New Roman" w:eastAsia="Times New Roman" w:hAnsi="Times New Roman" w:cs="Times New Roman"/>
        </w:rPr>
        <w:t>“</w:t>
      </w:r>
      <w:r>
        <w:rPr>
          <w:rFonts w:ascii="SimSun" w:eastAsia="SimSun" w:hAnsi="SimSun" w:cs="SimSun"/>
        </w:rPr>
        <w:t>温暖工程</w:t>
      </w:r>
      <w:r>
        <w:rPr>
          <w:rFonts w:ascii="Times New Roman" w:eastAsia="Times New Roman" w:hAnsi="Times New Roman" w:cs="Times New Roman"/>
        </w:rPr>
        <w:t>”</w:t>
      </w:r>
      <w:r>
        <w:rPr>
          <w:rFonts w:ascii="SimSun" w:eastAsia="SimSun" w:hAnsi="SimSun" w:cs="SimSun"/>
        </w:rPr>
        <w:t>，建立了以国家奖学金、天津市政府奖学金、国家励志奖学金，学院奖学金、企业奖学金、国家助学金、勤工助学、国家助学贷款等多元化资助育人体系，确保不让一个学生因家庭困难而辍学。为满足学生继续学习，提升学历的愿望，通过多种途径和方式构建了便捷、通畅、完善的学历提升体系，学生可通过推荐、高职升本、专接本等多种渠道进入本科院校学习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天津能源投资集团有限公司作为华北地区能源行业最大的国有支柱产业，为优秀毕业生提供了良好的就业岗位。与全国</w:t>
      </w:r>
      <w:r>
        <w:rPr>
          <w:rFonts w:ascii="Times New Roman" w:eastAsia="Times New Roman" w:hAnsi="Times New Roman" w:cs="Times New Roman"/>
        </w:rPr>
        <w:t>240</w:t>
      </w:r>
      <w:r>
        <w:rPr>
          <w:rFonts w:ascii="SimSun" w:eastAsia="SimSun" w:hAnsi="SimSun" w:cs="SimSun"/>
        </w:rPr>
        <w:t>家企业建立了长期合作关系，开展订单式培养、委托培养等多种形式的校企合作，为毕业生提供了广阔的就业前景。近年来毕业生就业率持续保持在</w:t>
      </w:r>
      <w:r>
        <w:rPr>
          <w:rFonts w:ascii="Times New Roman" w:eastAsia="Times New Roman" w:hAnsi="Times New Roman" w:cs="Times New Roman"/>
        </w:rPr>
        <w:t>98%</w:t>
      </w:r>
      <w:r>
        <w:rPr>
          <w:rFonts w:ascii="SimSun" w:eastAsia="SimSun" w:hAnsi="SimSun" w:cs="SimSun"/>
        </w:rPr>
        <w:t>以上，建院以来为全国及天津市能源、建筑、电力、交通、城市管理等行业培养和输送了大批高素质技术技能人才。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学院设有招生工作委员会，全面负责学院的招生工作，制定招生政策、招生计划，决定有关招生的重大事宜。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招生工作委员会下设招生办公室，为组织和实施招生工作的常设机构，负责日常工作。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学院纪委监察室对招生工作实施监督。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根据发展规划、办学条件、专业要求、生源状况和社会需求制定学院</w:t>
      </w:r>
      <w:r>
        <w:rPr>
          <w:rFonts w:ascii="Times New Roman" w:eastAsia="Times New Roman" w:hAnsi="Times New Roman" w:cs="Times New Roman"/>
        </w:rPr>
        <w:t>2019</w:t>
      </w:r>
      <w:r>
        <w:rPr>
          <w:rFonts w:ascii="SimSun" w:eastAsia="SimSun" w:hAnsi="SimSun" w:cs="SimSun"/>
        </w:rPr>
        <w:t>年分省分专业招生计划。并按照教育部核准下达的具体招生专业、招生人数，在规定时间寄送到省、直辖市、自治区普通高校招生办公室，通过各省的招生考试信息网、报考指南等渠道及学院网站向社会公布。分省分专业招生计划详见考生所在省、自治区、直辖市</w:t>
      </w:r>
      <w:r>
        <w:rPr>
          <w:rFonts w:ascii="Times New Roman" w:eastAsia="Times New Roman" w:hAnsi="Times New Roman" w:cs="Times New Roman"/>
        </w:rPr>
        <w:t>2019</w:t>
      </w:r>
      <w:r>
        <w:rPr>
          <w:rFonts w:ascii="SimSun" w:eastAsia="SimSun" w:hAnsi="SimSun" w:cs="SimSun"/>
        </w:rPr>
        <w:t>年普通高考报考指南。在录取过程中，根据各省、直辖市、自治区的生源报考状况，经学院招生工作委员会研究，并报请教育行政主管部门批准，在跨省招生计划内可作适当调整。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学费标准：一般专业每生每学年</w:t>
      </w:r>
      <w:r>
        <w:rPr>
          <w:rFonts w:ascii="Times New Roman" w:eastAsia="Times New Roman" w:hAnsi="Times New Roman" w:cs="Times New Roman"/>
        </w:rPr>
        <w:t>5000</w:t>
      </w:r>
      <w:r>
        <w:rPr>
          <w:rFonts w:ascii="SimSun" w:eastAsia="SimSun" w:hAnsi="SimSun" w:cs="SimSun"/>
        </w:rPr>
        <w:t>元；特殊类专业每生每学年</w:t>
      </w:r>
      <w:r>
        <w:rPr>
          <w:rFonts w:ascii="Times New Roman" w:eastAsia="Times New Roman" w:hAnsi="Times New Roman" w:cs="Times New Roman"/>
        </w:rPr>
        <w:t>5500</w:t>
      </w:r>
      <w:r>
        <w:rPr>
          <w:rFonts w:ascii="SimSun" w:eastAsia="SimSun" w:hAnsi="SimSun" w:cs="SimSun"/>
        </w:rPr>
        <w:t>元；艺术类专业每生每学年</w:t>
      </w:r>
      <w:r>
        <w:rPr>
          <w:rFonts w:ascii="Times New Roman" w:eastAsia="Times New Roman" w:hAnsi="Times New Roman" w:cs="Times New Roman"/>
        </w:rPr>
        <w:t>8000</w:t>
      </w:r>
      <w:r>
        <w:rPr>
          <w:rFonts w:ascii="SimSun" w:eastAsia="SimSun" w:hAnsi="SimSun" w:cs="SimSun"/>
        </w:rPr>
        <w:t>元。住宿费标准：</w:t>
      </w:r>
      <w:r>
        <w:rPr>
          <w:rFonts w:ascii="Times New Roman" w:eastAsia="Times New Roman" w:hAnsi="Times New Roman" w:cs="Times New Roman"/>
        </w:rPr>
        <w:t>8</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元。以上收费标准如有调整，以物价管理部门批准的文件执行。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工作遵循公平竞争、公开选拔、公开程序的原则；执行国家教育部和各省、自治区、直辖市招生委员会制定的录取政策以及本章程公布的有关规定，以考生填报的志愿和高考文化课成绩为主要录取依据，德智体美劳全面考核，择优录取。在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的考生，只有当各省、自治区、直辖市公布的同批次最低控制线上第一志愿报考的人数少于招生计划时，才录取第二志愿报考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年在上海招生专业（类）对考试科目要求、综合素质档案的使用办法以当地教育招生考试部门及学院官方网站公示为准。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同等条件下，优先录取获得省</w:t>
      </w:r>
      <w:r>
        <w:rPr>
          <w:rFonts w:ascii="Times New Roman" w:eastAsia="Times New Roman" w:hAnsi="Times New Roman" w:cs="Times New Roman"/>
        </w:rPr>
        <w:t>/</w:t>
      </w:r>
      <w:r>
        <w:rPr>
          <w:rFonts w:ascii="SimSun" w:eastAsia="SimSun" w:hAnsi="SimSun" w:cs="SimSun"/>
        </w:rPr>
        <w:t>市级优秀学生、优秀学生干部、三好学生等荣誉称号考生；其次文史类依次比较语文、外语、数学；理工类依次比较数学、外语、语文单科分数，较高者优先（如考生省份有相关规定，执行该省份要求）。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对天津市考生，依据教育部和天津市教育招生考试院有关招生工作的文件精神，本着公平、公正、公开的原则，以高考语文、数学、英语成绩为基础，参照高中学业水平考试成绩和综合素质评价，择优录取。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录取规则。根据各省、自治区、直辖市招生主管部门要求，考生高考文化成绩达到所在省、自治区、直辖市艺术类专业专科控制线且专业联考或统考成绩合格的基础上，按考生所在省、自治区、直辖市招生主管部门艺术类专业投档录取原则规定进行录取。若考生所在省、自治区、直辖市招生主管部门艺术类专业录取无明确要求，则按照投档考生高考文化成绩和专业联考或统考成绩总和录取。如出现同分考生，则优先录取专业课成绩较高者，如专业课成绩仍相同，则依次按照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录取专业对有身体健康要求的专业，按照《普通高等学校招生体检工作指导意见》及《关于普通高等学校招生学生入学身体检查取消乙肝项目检测有关问题的通知》的要求执行。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在接到各省、自治区、直辖市招生主管部门核准备案的录取考生名单后，以邮政特快专递的方式寄发《录取通知书》。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已录取的新生，按学院有关要求和规定的期限办理入学手续。因故不能按期入学的，应当向学院招生办公室请假，未请假或请假逾期的，除因不可抗力等正当事由以外，视为放弃入学资格。对于审查合格的新生予以办理入学手续，并注册学籍；审查中发现弄虚作假等情形的，不予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新生入学注册后，依据《天津城市建设管理职业技术学院学生管理细则》、《天津城市建设管理职业技术学院学籍管理实施细则》等规章制度进行管理</w:t>
      </w:r>
      <w:r>
        <w:rPr>
          <w:rFonts w:ascii="Times New Roman" w:eastAsia="Times New Roman" w:hAnsi="Times New Roman" w:cs="Times New Roman"/>
        </w:rPr>
        <w:t>,</w:t>
      </w:r>
      <w:r>
        <w:rPr>
          <w:rFonts w:ascii="SimSun" w:eastAsia="SimSun" w:hAnsi="SimSun" w:cs="SimSun"/>
        </w:rPr>
        <w:t>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学院执行国家</w:t>
      </w:r>
      <w:r>
        <w:rPr>
          <w:rFonts w:ascii="Times New Roman" w:eastAsia="Times New Roman" w:hAnsi="Times New Roman" w:cs="Times New Roman"/>
        </w:rPr>
        <w:t>“</w:t>
      </w:r>
      <w:r>
        <w:rPr>
          <w:rFonts w:ascii="SimSun" w:eastAsia="SimSun" w:hAnsi="SimSun" w:cs="SimSun"/>
        </w:rPr>
        <w:t>奖、助、贷、减、免</w:t>
      </w:r>
      <w:r>
        <w:rPr>
          <w:rFonts w:ascii="Times New Roman" w:eastAsia="Times New Roman" w:hAnsi="Times New Roman" w:cs="Times New Roman"/>
        </w:rPr>
        <w:t>”</w:t>
      </w:r>
      <w:r>
        <w:rPr>
          <w:rFonts w:ascii="SimSun" w:eastAsia="SimSun" w:hAnsi="SimSun" w:cs="SimSun"/>
        </w:rPr>
        <w:t>等多种资助政策，并为贫困生提供勤工助学岗位。建立绿色入学通道，帮助困难学生顺利完成学业。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完成规定学业，经审查达到毕业标准的学生颁发天津城市建设管理职业技术学院全日制普通高等学校专科毕业证书。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年天津城市建设管理职业技术学院高职招生工作。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本章程自公布起开始执行。凡以前天津城市建设管理职业技术学院有关高职招生工作的政策、规定与本章程不一致的，一律废止，均以本章程规定为准。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本章程由天津城市建设管理职业技术学院招生办公室负责解释。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咨询地点：招生办公室（行政楼</w:t>
      </w:r>
      <w:r>
        <w:rPr>
          <w:rFonts w:ascii="Times New Roman" w:eastAsia="Times New Roman" w:hAnsi="Times New Roman" w:cs="Times New Roman"/>
        </w:rPr>
        <w:t>111</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www.tjchengjian.com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022-58319057    022-58319056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022-58319000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学院邮箱：</w:t>
      </w:r>
      <w:r>
        <w:rPr>
          <w:rFonts w:ascii="Times New Roman" w:eastAsia="Times New Roman" w:hAnsi="Times New Roman" w:cs="Times New Roman"/>
        </w:rPr>
        <w:t xml:space="preserve">TJCJGZzhaoban@126.com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地址：天津市北辰区龙泉道</w:t>
      </w:r>
      <w:r>
        <w:rPr>
          <w:rFonts w:ascii="Times New Roman" w:eastAsia="Times New Roman" w:hAnsi="Times New Roman" w:cs="Times New Roman"/>
        </w:rPr>
        <w:t>2889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300134)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58859752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天津城市建设管理职业技术学院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天津海运职业学院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北京科技大学天津学院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0.html" TargetMode="External" /><Relationship Id="rId5" Type="http://schemas.openxmlformats.org/officeDocument/2006/relationships/hyperlink" Target="http://www.gk114.com/a/gxzs/zszc/tianjin/2019/0610/963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