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天津城建大学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为规范我校招生工作，维护考生合法权益，保证学校依法招生，根据《中华人民共和国教育法》、《中华人民共和国高等教育法》、教育部和天津市教育委员会有关规定，结合我校的实际情况，制定本章程。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本章程是我校向社会公布招生信息的主要形式，是我校开展招生工作、录取新生的重要依据。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、学校名称：天津城建大学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、学校代码：</w:t>
      </w:r>
      <w:r>
        <w:rPr>
          <w:rFonts w:ascii="Times New Roman" w:eastAsia="Times New Roman" w:hAnsi="Times New Roman" w:cs="Times New Roman"/>
        </w:rPr>
        <w:t xml:space="preserve">10792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、学校地址：天津市西青区津静路</w:t>
      </w:r>
      <w:r>
        <w:rPr>
          <w:rFonts w:ascii="Times New Roman" w:eastAsia="Times New Roman" w:hAnsi="Times New Roman" w:cs="Times New Roman"/>
        </w:rPr>
        <w:t>26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、学校概况：天津城建大学是一所天津市市属普通高等学校，始建于</w:t>
      </w:r>
      <w:r>
        <w:rPr>
          <w:rFonts w:ascii="Times New Roman" w:eastAsia="Times New Roman" w:hAnsi="Times New Roman" w:cs="Times New Roman"/>
        </w:rPr>
        <w:t>1978</w:t>
      </w:r>
      <w:r>
        <w:rPr>
          <w:rFonts w:ascii="SimSun" w:eastAsia="SimSun" w:hAnsi="SimSun" w:cs="SimSun"/>
        </w:rPr>
        <w:t>年，前身是天津大学建筑分校，</w:t>
      </w:r>
      <w:r>
        <w:rPr>
          <w:rFonts w:ascii="Times New Roman" w:eastAsia="Times New Roman" w:hAnsi="Times New Roman" w:cs="Times New Roman"/>
        </w:rPr>
        <w:t>1987</w:t>
      </w:r>
      <w:r>
        <w:rPr>
          <w:rFonts w:ascii="SimSun" w:eastAsia="SimSun" w:hAnsi="SimSun" w:cs="SimSun"/>
        </w:rPr>
        <w:t>年更名为天津城市建设学院，</w:t>
      </w:r>
      <w:r>
        <w:rPr>
          <w:rFonts w:ascii="Times New Roman" w:eastAsia="Times New Roman" w:hAnsi="Times New Roman" w:cs="Times New Roman"/>
        </w:rPr>
        <w:t>2013</w:t>
      </w:r>
      <w:r>
        <w:rPr>
          <w:rFonts w:ascii="SimSun" w:eastAsia="SimSun" w:hAnsi="SimSun" w:cs="SimSun"/>
        </w:rPr>
        <w:t>年更名为天津城建大学。建校</w:t>
      </w:r>
      <w:r>
        <w:rPr>
          <w:rFonts w:ascii="Times New Roman" w:eastAsia="Times New Roman" w:hAnsi="Times New Roman" w:cs="Times New Roman"/>
        </w:rPr>
        <w:t>40</w:t>
      </w:r>
      <w:r>
        <w:rPr>
          <w:rFonts w:ascii="SimSun" w:eastAsia="SimSun" w:hAnsi="SimSun" w:cs="SimSun"/>
        </w:rPr>
        <w:t>年来，学校全面贯彻党的教育方针，坚持</w:t>
      </w:r>
      <w:r>
        <w:rPr>
          <w:rFonts w:ascii="Times New Roman" w:eastAsia="Times New Roman" w:hAnsi="Times New Roman" w:cs="Times New Roman"/>
        </w:rPr>
        <w:t>“</w:t>
      </w:r>
      <w:r>
        <w:rPr>
          <w:rFonts w:ascii="SimSun" w:eastAsia="SimSun" w:hAnsi="SimSun" w:cs="SimSun"/>
        </w:rPr>
        <w:t>发展城市科学，培育建设人才</w:t>
      </w:r>
      <w:r>
        <w:rPr>
          <w:rFonts w:ascii="Times New Roman" w:eastAsia="Times New Roman" w:hAnsi="Times New Roman" w:cs="Times New Roman"/>
        </w:rPr>
        <w:t>”</w:t>
      </w:r>
      <w:r>
        <w:rPr>
          <w:rFonts w:ascii="SimSun" w:eastAsia="SimSun" w:hAnsi="SimSun" w:cs="SimSun"/>
        </w:rPr>
        <w:t>的办学宗旨，践行</w:t>
      </w:r>
      <w:r>
        <w:rPr>
          <w:rFonts w:ascii="Times New Roman" w:eastAsia="Times New Roman" w:hAnsi="Times New Roman" w:cs="Times New Roman"/>
        </w:rPr>
        <w:t>“</w:t>
      </w:r>
      <w:r>
        <w:rPr>
          <w:rFonts w:ascii="SimSun" w:eastAsia="SimSun" w:hAnsi="SimSun" w:cs="SimSun"/>
        </w:rPr>
        <w:t>重德重能、善学善建</w:t>
      </w:r>
      <w:r>
        <w:rPr>
          <w:rFonts w:ascii="Times New Roman" w:eastAsia="Times New Roman" w:hAnsi="Times New Roman" w:cs="Times New Roman"/>
        </w:rPr>
        <w:t>”</w:t>
      </w:r>
      <w:r>
        <w:rPr>
          <w:rFonts w:ascii="SimSun" w:eastAsia="SimSun" w:hAnsi="SimSun" w:cs="SimSun"/>
        </w:rPr>
        <w:t>的校训精神，坚持</w:t>
      </w:r>
      <w:r>
        <w:rPr>
          <w:rFonts w:ascii="Times New Roman" w:eastAsia="Times New Roman" w:hAnsi="Times New Roman" w:cs="Times New Roman"/>
        </w:rPr>
        <w:t>“</w:t>
      </w:r>
      <w:r>
        <w:rPr>
          <w:rFonts w:ascii="SimSun" w:eastAsia="SimSun" w:hAnsi="SimSun" w:cs="SimSun"/>
        </w:rPr>
        <w:t>依托行业，强化特色，质量为本，追求卓越</w:t>
      </w:r>
      <w:r>
        <w:rPr>
          <w:rFonts w:ascii="Times New Roman" w:eastAsia="Times New Roman" w:hAnsi="Times New Roman" w:cs="Times New Roman"/>
        </w:rPr>
        <w:t>”</w:t>
      </w:r>
      <w:r>
        <w:rPr>
          <w:rFonts w:ascii="SimSun" w:eastAsia="SimSun" w:hAnsi="SimSun" w:cs="SimSun"/>
        </w:rPr>
        <w:t>的办学理念，立足天津、面向全国，服务城镇化和城市现代化建设，形成了以工、理、管为主要学科，工、理、管、经、艺、文等学科相互支撑、协调发展的学科专业体系，城建类学科特色鲜明、优势突出，学校设有</w:t>
      </w:r>
      <w:r>
        <w:rPr>
          <w:rFonts w:ascii="Times New Roman" w:eastAsia="Times New Roman" w:hAnsi="Times New Roman" w:cs="Times New Roman"/>
        </w:rPr>
        <w:t>14</w:t>
      </w:r>
      <w:r>
        <w:rPr>
          <w:rFonts w:ascii="SimSun" w:eastAsia="SimSun" w:hAnsi="SimSun" w:cs="SimSun"/>
        </w:rPr>
        <w:t>个学院、</w:t>
      </w:r>
      <w:r>
        <w:rPr>
          <w:rFonts w:ascii="Times New Roman" w:eastAsia="Times New Roman" w:hAnsi="Times New Roman" w:cs="Times New Roman"/>
        </w:rPr>
        <w:t>2</w:t>
      </w:r>
      <w:r>
        <w:rPr>
          <w:rFonts w:ascii="SimSun" w:eastAsia="SimSun" w:hAnsi="SimSun" w:cs="SimSun"/>
        </w:rPr>
        <w:t>个教学部（中心）和</w:t>
      </w:r>
      <w:r>
        <w:rPr>
          <w:rFonts w:ascii="Times New Roman" w:eastAsia="Times New Roman" w:hAnsi="Times New Roman" w:cs="Times New Roman"/>
        </w:rPr>
        <w:t>1</w:t>
      </w:r>
      <w:r>
        <w:rPr>
          <w:rFonts w:ascii="SimSun" w:eastAsia="SimSun" w:hAnsi="SimSun" w:cs="SimSun"/>
        </w:rPr>
        <w:t>个继续教育学院，具有接受外国留学生的资格。目前学校有学术硕士学位授权一级学科</w:t>
      </w:r>
      <w:r>
        <w:rPr>
          <w:rFonts w:ascii="Times New Roman" w:eastAsia="Times New Roman" w:hAnsi="Times New Roman" w:cs="Times New Roman"/>
        </w:rPr>
        <w:t>14</w:t>
      </w:r>
      <w:r>
        <w:rPr>
          <w:rFonts w:ascii="SimSun" w:eastAsia="SimSun" w:hAnsi="SimSun" w:cs="SimSun"/>
        </w:rPr>
        <w:t>个、授权二级学科</w:t>
      </w:r>
      <w:r>
        <w:rPr>
          <w:rFonts w:ascii="Times New Roman" w:eastAsia="Times New Roman" w:hAnsi="Times New Roman" w:cs="Times New Roman"/>
        </w:rPr>
        <w:t>60</w:t>
      </w:r>
      <w:r>
        <w:rPr>
          <w:rFonts w:ascii="SimSun" w:eastAsia="SimSun" w:hAnsi="SimSun" w:cs="SimSun"/>
        </w:rPr>
        <w:t>个，专业硕士学位授权类别</w:t>
      </w:r>
      <w:r>
        <w:rPr>
          <w:rFonts w:ascii="Times New Roman" w:eastAsia="Times New Roman" w:hAnsi="Times New Roman" w:cs="Times New Roman"/>
        </w:rPr>
        <w:t>3</w:t>
      </w:r>
      <w:r>
        <w:rPr>
          <w:rFonts w:ascii="SimSun" w:eastAsia="SimSun" w:hAnsi="SimSun" w:cs="SimSun"/>
        </w:rPr>
        <w:t>种、工程硕士领域</w:t>
      </w:r>
      <w:r>
        <w:rPr>
          <w:rFonts w:ascii="Times New Roman" w:eastAsia="Times New Roman" w:hAnsi="Times New Roman" w:cs="Times New Roman"/>
        </w:rPr>
        <w:t>4</w:t>
      </w:r>
      <w:r>
        <w:rPr>
          <w:rFonts w:ascii="SimSun" w:eastAsia="SimSun" w:hAnsi="SimSun" w:cs="SimSun"/>
        </w:rPr>
        <w:t>个，</w:t>
      </w:r>
      <w:r>
        <w:rPr>
          <w:rFonts w:ascii="Times New Roman" w:eastAsia="Times New Roman" w:hAnsi="Times New Roman" w:cs="Times New Roman"/>
        </w:rPr>
        <w:t>6</w:t>
      </w:r>
      <w:r>
        <w:rPr>
          <w:rFonts w:ascii="SimSun" w:eastAsia="SimSun" w:hAnsi="SimSun" w:cs="SimSun"/>
        </w:rPr>
        <w:t>个省部级重点学科，</w:t>
      </w:r>
      <w:r>
        <w:rPr>
          <w:rFonts w:ascii="Times New Roman" w:eastAsia="Times New Roman" w:hAnsi="Times New Roman" w:cs="Times New Roman"/>
        </w:rPr>
        <w:t>2</w:t>
      </w:r>
      <w:r>
        <w:rPr>
          <w:rFonts w:ascii="SimSun" w:eastAsia="SimSun" w:hAnsi="SimSun" w:cs="SimSun"/>
        </w:rPr>
        <w:t>个天津市一流学科。现拥有国家级和省部级以上各类科技创新平台</w:t>
      </w:r>
      <w:r>
        <w:rPr>
          <w:rFonts w:ascii="Times New Roman" w:eastAsia="Times New Roman" w:hAnsi="Times New Roman" w:cs="Times New Roman"/>
        </w:rPr>
        <w:t>18</w:t>
      </w:r>
      <w:r>
        <w:rPr>
          <w:rFonts w:ascii="SimSun" w:eastAsia="SimSun" w:hAnsi="SimSun" w:cs="SimSun"/>
        </w:rPr>
        <w:t>个，包括</w:t>
      </w:r>
      <w:r>
        <w:rPr>
          <w:rFonts w:ascii="Times New Roman" w:eastAsia="Times New Roman" w:hAnsi="Times New Roman" w:cs="Times New Roman"/>
        </w:rPr>
        <w:t>1</w:t>
      </w:r>
      <w:r>
        <w:rPr>
          <w:rFonts w:ascii="SimSun" w:eastAsia="SimSun" w:hAnsi="SimSun" w:cs="SimSun"/>
        </w:rPr>
        <w:t>个国家级工程研究中心，</w:t>
      </w:r>
      <w:r>
        <w:rPr>
          <w:rFonts w:ascii="Times New Roman" w:eastAsia="Times New Roman" w:hAnsi="Times New Roman" w:cs="Times New Roman"/>
        </w:rPr>
        <w:t>8</w:t>
      </w:r>
      <w:r>
        <w:rPr>
          <w:rFonts w:ascii="SimSun" w:eastAsia="SimSun" w:hAnsi="SimSun" w:cs="SimSun"/>
        </w:rPr>
        <w:t>个省部级技术工程中心，</w:t>
      </w:r>
      <w:r>
        <w:rPr>
          <w:rFonts w:ascii="Times New Roman" w:eastAsia="Times New Roman" w:hAnsi="Times New Roman" w:cs="Times New Roman"/>
        </w:rPr>
        <w:t>4</w:t>
      </w:r>
      <w:r>
        <w:rPr>
          <w:rFonts w:ascii="SimSun" w:eastAsia="SimSun" w:hAnsi="SimSun" w:cs="SimSun"/>
        </w:rPr>
        <w:t>个省部级重点实验室，</w:t>
      </w:r>
      <w:r>
        <w:rPr>
          <w:rFonts w:ascii="Times New Roman" w:eastAsia="Times New Roman" w:hAnsi="Times New Roman" w:cs="Times New Roman"/>
        </w:rPr>
        <w:t>1</w:t>
      </w:r>
      <w:r>
        <w:rPr>
          <w:rFonts w:ascii="SimSun" w:eastAsia="SimSun" w:hAnsi="SimSun" w:cs="SimSun"/>
        </w:rPr>
        <w:t>个省部级高校智库，</w:t>
      </w:r>
      <w:r>
        <w:rPr>
          <w:rFonts w:ascii="Times New Roman" w:eastAsia="Times New Roman" w:hAnsi="Times New Roman" w:cs="Times New Roman"/>
        </w:rPr>
        <w:t>1</w:t>
      </w:r>
      <w:r>
        <w:rPr>
          <w:rFonts w:ascii="SimSun" w:eastAsia="SimSun" w:hAnsi="SimSun" w:cs="SimSun"/>
        </w:rPr>
        <w:t>个省部级人文社科基地，</w:t>
      </w:r>
      <w:r>
        <w:rPr>
          <w:rFonts w:ascii="Times New Roman" w:eastAsia="Times New Roman" w:hAnsi="Times New Roman" w:cs="Times New Roman"/>
        </w:rPr>
        <w:t>1</w:t>
      </w:r>
      <w:r>
        <w:rPr>
          <w:rFonts w:ascii="SimSun" w:eastAsia="SimSun" w:hAnsi="SimSun" w:cs="SimSun"/>
        </w:rPr>
        <w:t>个省部级协同创新中心，</w:t>
      </w:r>
      <w:r>
        <w:rPr>
          <w:rFonts w:ascii="Times New Roman" w:eastAsia="Times New Roman" w:hAnsi="Times New Roman" w:cs="Times New Roman"/>
        </w:rPr>
        <w:t>1</w:t>
      </w:r>
      <w:r>
        <w:rPr>
          <w:rFonts w:ascii="SimSun" w:eastAsia="SimSun" w:hAnsi="SimSun" w:cs="SimSun"/>
        </w:rPr>
        <w:t>个省部级成果转化中心和</w:t>
      </w:r>
      <w:r>
        <w:rPr>
          <w:rFonts w:ascii="Times New Roman" w:eastAsia="Times New Roman" w:hAnsi="Times New Roman" w:cs="Times New Roman"/>
        </w:rPr>
        <w:t>1</w:t>
      </w:r>
      <w:r>
        <w:rPr>
          <w:rFonts w:ascii="SimSun" w:eastAsia="SimSun" w:hAnsi="SimSun" w:cs="SimSun"/>
        </w:rPr>
        <w:t>个省部级产业技术创新联盟；组建校级科研机构</w:t>
      </w:r>
      <w:r>
        <w:rPr>
          <w:rFonts w:ascii="Times New Roman" w:eastAsia="Times New Roman" w:hAnsi="Times New Roman" w:cs="Times New Roman"/>
        </w:rPr>
        <w:t>15</w:t>
      </w:r>
      <w:r>
        <w:rPr>
          <w:rFonts w:ascii="SimSun" w:eastAsia="SimSun" w:hAnsi="SimSun" w:cs="SimSun"/>
        </w:rPr>
        <w:t>个，有力促进了各学科协同发展和科技创新能力的提升。本科招生专业</w:t>
      </w:r>
      <w:r>
        <w:rPr>
          <w:rFonts w:ascii="Times New Roman" w:eastAsia="Times New Roman" w:hAnsi="Times New Roman" w:cs="Times New Roman"/>
        </w:rPr>
        <w:t>52</w:t>
      </w:r>
      <w:r>
        <w:rPr>
          <w:rFonts w:ascii="SimSun" w:eastAsia="SimSun" w:hAnsi="SimSun" w:cs="SimSun"/>
        </w:rPr>
        <w:t>个，全日制在校生</w:t>
      </w:r>
      <w:r>
        <w:rPr>
          <w:rFonts w:ascii="Times New Roman" w:eastAsia="Times New Roman" w:hAnsi="Times New Roman" w:cs="Times New Roman"/>
        </w:rPr>
        <w:t>17000</w:t>
      </w:r>
      <w:r>
        <w:rPr>
          <w:rFonts w:ascii="SimSun" w:eastAsia="SimSun" w:hAnsi="SimSun" w:cs="SimSun"/>
        </w:rPr>
        <w:t>余人，其中本科生</w:t>
      </w:r>
      <w:r>
        <w:rPr>
          <w:rFonts w:ascii="Times New Roman" w:eastAsia="Times New Roman" w:hAnsi="Times New Roman" w:cs="Times New Roman"/>
        </w:rPr>
        <w:t>16000</w:t>
      </w:r>
      <w:r>
        <w:rPr>
          <w:rFonts w:ascii="SimSun" w:eastAsia="SimSun" w:hAnsi="SimSun" w:cs="SimSun"/>
        </w:rPr>
        <w:t>余人，硕士研究生</w:t>
      </w:r>
      <w:r>
        <w:rPr>
          <w:rFonts w:ascii="Times New Roman" w:eastAsia="Times New Roman" w:hAnsi="Times New Roman" w:cs="Times New Roman"/>
        </w:rPr>
        <w:t>1000</w:t>
      </w:r>
      <w:r>
        <w:rPr>
          <w:rFonts w:ascii="SimSun" w:eastAsia="SimSun" w:hAnsi="SimSun" w:cs="SimSun"/>
        </w:rPr>
        <w:t>余人。学校拥有一支职称、学历、年龄结构优化的师资队伍。已为国家培养了</w:t>
      </w:r>
      <w:r>
        <w:rPr>
          <w:rFonts w:ascii="Times New Roman" w:eastAsia="Times New Roman" w:hAnsi="Times New Roman" w:cs="Times New Roman"/>
        </w:rPr>
        <w:t>5.5</w:t>
      </w:r>
      <w:r>
        <w:rPr>
          <w:rFonts w:ascii="SimSun" w:eastAsia="SimSun" w:hAnsi="SimSun" w:cs="SimSun"/>
        </w:rPr>
        <w:t>万余名适任敬业的优秀人才，毕业生就业率始终处在天津市高校前列。</w:t>
      </w:r>
      <w:r>
        <w:rPr>
          <w:rFonts w:ascii="Times New Roman" w:eastAsia="Times New Roman" w:hAnsi="Times New Roman" w:cs="Times New Roman"/>
        </w:rPr>
        <w:t>2007</w:t>
      </w:r>
      <w:r>
        <w:rPr>
          <w:rFonts w:ascii="SimSun" w:eastAsia="SimSun" w:hAnsi="SimSun" w:cs="SimSun"/>
        </w:rPr>
        <w:t>年通过教育部普通高等学校本科教学工作水平评估，获得</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学校设有招生委员会，全面负责审议招生政策和规则、制订招生计划、审核招生重大事项等，对各类招生工作的全过程进行监督检查。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学校设有招生工作领导小组，全面负责学校的招生工作，制定招生政策、招生计划，决定有关招生的重大事宜。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学校招生工作领导小组下设招生办公室，为组织和实施招生工作的常设机构，负责日常工作。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学校成立以纪委书记为组长，校纪委监察部门参加的招生工作监察领导小组，负责监察招生录取全过程，并接受社会监督。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教育部核准下达的招生计划，结合我校发展规划和办学条件，制定学校分省分专业招生计划并在规定时间内向各省、自治区、直辖市招生委员会备案，由各省、自治区、直辖市的招生主管部门向考生公布。我校也将通过学校招生网站、媒体及其他方式向社会公布。</w:t>
      </w:r>
      <w:r>
        <w:rPr>
          <w:rFonts w:ascii="Times New Roman" w:eastAsia="Times New Roman" w:hAnsi="Times New Roman" w:cs="Times New Roman"/>
        </w:rPr>
        <w:t>2018</w:t>
      </w:r>
      <w:r>
        <w:rPr>
          <w:rFonts w:ascii="SimSun" w:eastAsia="SimSun" w:hAnsi="SimSun" w:cs="SimSun"/>
        </w:rPr>
        <w:t>年我校面向全国</w:t>
      </w:r>
      <w:r>
        <w:rPr>
          <w:rFonts w:ascii="Times New Roman" w:eastAsia="Times New Roman" w:hAnsi="Times New Roman" w:cs="Times New Roman"/>
        </w:rPr>
        <w:t>31</w:t>
      </w:r>
      <w:r>
        <w:rPr>
          <w:rFonts w:ascii="SimSun" w:eastAsia="SimSun" w:hAnsi="SimSun" w:cs="SimSun"/>
        </w:rPr>
        <w:t>个省、自治区、直辖市制定分省、分专业招生计划。学校各专业录取批次以各省、自治区、直辖市公布为准。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在录取过程中我校根据各招生省、自治区、直辖市的生源及招生计划执行情况，按教育部相关文件精神，经校招生工作领导小组批准，在总计划内对招生计划作适当的调整。预留计划数不超过学校本科招生计划的</w:t>
      </w:r>
      <w:r>
        <w:rPr>
          <w:rFonts w:ascii="Times New Roman" w:eastAsia="Times New Roman" w:hAnsi="Times New Roman" w:cs="Times New Roman"/>
        </w:rPr>
        <w:t>1%</w:t>
      </w:r>
      <w:r>
        <w:rPr>
          <w:rFonts w:ascii="SimSun" w:eastAsia="SimSun" w:hAnsi="SimSun" w:cs="SimSun"/>
        </w:rPr>
        <w:t>，主要用于各省最低分同分录取或按各省录取政策完成投档比例要求的录取。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我校招生录取工作遵循</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的原则；执行教育部和各省、自治区、直辖市招生委员会制定的录取政策，以及本招生章程公布的有关规定；根据各省、自治区、直辖市高招办划定的录取控制分数线，按考生填报志愿，以高考成绩为主，德智体美全面考核，择优录取。招生录取过程中，自觉接受各省、自治区、直辖市招生委员会、纪律检查委员会、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院校志愿录取执行所在省、自治区及直辖市的相关政策。分为顺序志愿、平行志愿和综合改革三种录取规则。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内蒙古考生执行本章程第十五条之有关规定，上海和浙江考生执行本章程第十六条之有关规定），先对同一科类、相应批次学校录取控制分数线上符合条件的考生，按投档成绩从高分到低分排序，依次检索每位考生填报的专业志愿，若考生符合其中一个以上专业的录取条件时，则录取到序号在前的专业；若考生只符合其中一个专业的录取条件，则直接录取到该专业；若考生投档成绩达到学校录取控制分数线且符合录取条件，但未达到所填报专业的录取分数，凡服从专业调剂者将被调剂到未录满的专业；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当同一科类、相应批次考生的投档成绩相同时，依次比较语文、数学、英语和理综成绩，优先满足成绩较高考生的志愿。天津市考生执行本章程第十三条之有关规定，江苏考生执行本章程第十四条之有关规定。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天津市考生，当投档成绩相同时，优先安排普通高中学业水平考试成绩较佳的考生；如普通高中学业水平考试成绩等第相同，则依据综合素质评价结果。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江苏省考生，专业录取时按照分数优先的原则，当投档成绩相同时，依次比较物理、化学（或生物）选测科目的成绩等级，优先满足等级成绩较高考生的志愿。如选测科目的成绩等级均相同时，依次比较语文、数学、英语成绩，优先满足成绩较高考生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内蒙古自治区考生，专业录取以</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为原则，在公布招生计划范围内，先按考生填报的专业志愿顺序依次由高分到低分排队录取，专业志愿不设分数级差。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上海市和浙江省考生，录取时分别执行</w:t>
      </w:r>
      <w:r>
        <w:rPr>
          <w:rFonts w:ascii="Times New Roman" w:eastAsia="Times New Roman" w:hAnsi="Times New Roman" w:cs="Times New Roman"/>
        </w:rPr>
        <w:t>2018</w:t>
      </w:r>
      <w:r>
        <w:rPr>
          <w:rFonts w:ascii="SimSun" w:eastAsia="SimSun" w:hAnsi="SimSun" w:cs="SimSun"/>
        </w:rPr>
        <w:t>年当地的高考综合改革相关规定。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建筑学专业、城乡规划专业、风景园林专业的考生要求有徒手画基础。入学后加试美术，合格考生留在上述专业学习，不合格考生可选择转至其他专业学习，但考生的高考投档成绩须高于拟转专业在考生生源所在地录取的最低分数。（上海和浙江考生须同时满足生源所在省份的选课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艺术类专业录取原则。省级专业统考成绩须达到生源所在省、自治区、直辖市本科报考资格，同时高考文化课成绩须达到生源所在省、自治区、直辖市艺术类本科录取投档分数线及以上。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根据分省招生计划，考生分别按</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从高分到低分择优录取，综合成绩相同时优先录取省级专业统考成绩较高的考生。我校在计算</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时，如院校志愿投档时与生源所在省录取政策冲突时，以省投档政策为准。学校录取时按专业类（设计学类）录取。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综合成绩计算方法：综合成绩</w:t>
      </w:r>
      <w:r>
        <w:rPr>
          <w:rFonts w:ascii="Times New Roman" w:eastAsia="Times New Roman" w:hAnsi="Times New Roman" w:cs="Times New Roman"/>
        </w:rPr>
        <w:t xml:space="preserve"> = </w:t>
      </w:r>
      <w:r>
        <w:rPr>
          <w:rFonts w:ascii="SimSun" w:eastAsia="SimSun" w:hAnsi="SimSun" w:cs="SimSun"/>
        </w:rPr>
        <w:t>高考文化课成绩</w:t>
      </w:r>
      <w:r>
        <w:rPr>
          <w:rFonts w:ascii="Times New Roman" w:eastAsia="Times New Roman" w:hAnsi="Times New Roman" w:cs="Times New Roman"/>
        </w:rPr>
        <w:t xml:space="preserve"> + </w:t>
      </w:r>
      <w:r>
        <w:rPr>
          <w:rFonts w:ascii="SimSun" w:eastAsia="SimSun" w:hAnsi="SimSun" w:cs="SimSun"/>
        </w:rPr>
        <w:t>省级专业统考成绩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软件工程专业以及管理科学与工程类（中外合作办学工程管理）只录取有专业志愿（不含服从志愿）的考生。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我校录取加分政策按照教育部有关政策规定执行。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报考高水平运动员的考生必须经学校认定体育测试合格并通过教育部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平台公示的考生，学校依据教育部和有关省、自治区、直辖市的规定，考生须达到招生主管部门及学校规定的相应的文化成绩标准，然后按专业测试成绩排名，择优录取。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内地新疆班招生工作按照教育部和学校有关规定执行。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少数民族预科生录取，专业志愿录取以分数优先为原则（同第十一条），如生源所在省未公布分专业计划，我校录取时按服从专业调剂录取。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按照教育部的规定，学校在接到各省、自治区、直辖市招生办录取审批单后，寄发录取通知书。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依照高考体检工作相关部门颁布的《普通高等学校招生体检工作指导意见》的有关规定，入学后，学校对注册考生的身体健康状况进行复查。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新生入学后，学校依据教育部有关规定及《天津城建大学学生管理规定》和《天津城建大学本科学生学籍管理规定》的有关规章制度进行管理；按专业培养方案对学生进行培养。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学生完成规定学业，经审核达到毕业标准的颁发天津城建大学全日制普通高等学校毕业证书，高职升本科毕业生的毕业证注明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。对符合学校学士学位授予工作规定的毕业生授予学士学位，颁发学位证书。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天津城建大学设有多种形式奖学金、国家助学贷款和勤工助学岗。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、各类专业学费：文科类每生每学年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元；设计学类每生每学年</w:t>
      </w:r>
      <w:r>
        <w:rPr>
          <w:rFonts w:ascii="Times New Roman" w:eastAsia="Times New Roman" w:hAnsi="Times New Roman" w:cs="Times New Roman"/>
        </w:rPr>
        <w:t>12000</w:t>
      </w:r>
      <w:r>
        <w:rPr>
          <w:rFonts w:ascii="SimSun" w:eastAsia="SimSun" w:hAnsi="SimSun" w:cs="SimSun"/>
        </w:rPr>
        <w:t>元；软件专业的学生进入天津市大学软件学院学习，采用新的人才培养模式，按照天津市物价局批准的示范性软件学院的收费标准执行。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与丹麦</w:t>
      </w:r>
      <w:r>
        <w:rPr>
          <w:rFonts w:ascii="Times New Roman" w:eastAsia="Times New Roman" w:hAnsi="Times New Roman" w:cs="Times New Roman"/>
        </w:rPr>
        <w:t>VIA</w:t>
      </w:r>
      <w:r>
        <w:rPr>
          <w:rFonts w:ascii="SimSun" w:eastAsia="SimSun" w:hAnsi="SimSun" w:cs="SimSun"/>
        </w:rPr>
        <w:t>大学合作举办管理科学与工程类（中外合作办学工程管理）：每生每学年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3-4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5-6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学校专业介绍等详细信息见招生简章及答考生问。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本章程未尽事宜，按教育部有关文件规定执行。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年度我校本科招生工作。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本章程经上级主管部门批准，自公布之日起实施。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在招生咨询过程中，学校招生咨询人员的意见和建议仅作为考生填报志愿的参考，不属学校录取承诺。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咨询联系方式及录取结果查询方式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学校地址：天津市西青区津静路</w:t>
      </w:r>
      <w:r>
        <w:rPr>
          <w:rFonts w:ascii="Times New Roman" w:eastAsia="Times New Roman" w:hAnsi="Times New Roman" w:cs="Times New Roman"/>
        </w:rPr>
        <w:t>26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300384    </w:t>
      </w:r>
      <w:r>
        <w:rPr>
          <w:rFonts w:ascii="SimSun" w:eastAsia="SimSun" w:hAnsi="SimSun" w:cs="SimSun"/>
        </w:rPr>
        <w:t>电话：</w:t>
      </w:r>
      <w:r>
        <w:rPr>
          <w:rFonts w:ascii="Times New Roman" w:eastAsia="Times New Roman" w:hAnsi="Times New Roman" w:cs="Times New Roman"/>
        </w:rPr>
        <w:t xml:space="preserve">022-23085247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http://www.tcu.edu.cn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  zhb@tcu.edu.cn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78.html" TargetMode="External" /><Relationship Id="rId5" Type="http://schemas.openxmlformats.org/officeDocument/2006/relationships/hyperlink" Target="http://www.gk114.com/a/gxzs/zszc/tianjin/2019/0221/638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