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为了保证学校本科招生工作的依法有序开展，维护考生和高校的合法权益，学校根据《中华人民共和国教育法》、《中华人民共和国高等教育法》和教育部有关规定，结合招生工作实际，制定本章程。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本章程是学校向社会公布招生政策、规定及相关信息的主要形式，是学校开展录取工作和招生咨询的主要依据。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三、培养层次：本科、硕士、博士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五大道校区</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：天津市河西区马场道</w:t>
      </w:r>
      <w:r>
        <w:rPr>
          <w:rFonts w:ascii="Times New Roman" w:eastAsia="Times New Roman" w:hAnsi="Times New Roman" w:cs="Times New Roman"/>
        </w:rPr>
        <w:t>117</w:t>
      </w:r>
      <w:r>
        <w:rPr>
          <w:rFonts w:ascii="SimSun" w:eastAsia="SimSun" w:hAnsi="SimSun" w:cs="SimSun"/>
        </w:rPr>
        <w:t>号，邮编</w:t>
      </w:r>
      <w:r>
        <w:rPr>
          <w:rFonts w:ascii="Times New Roman" w:eastAsia="Times New Roman" w:hAnsi="Times New Roman" w:cs="Times New Roman"/>
        </w:rPr>
        <w:t>300204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滨海校区：天津市大港区学府路</w:t>
      </w:r>
      <w:r>
        <w:rPr>
          <w:rFonts w:ascii="Times New Roman" w:eastAsia="Times New Roman" w:hAnsi="Times New Roman" w:cs="Times New Roman"/>
        </w:rPr>
        <w:t>60</w:t>
      </w:r>
      <w:r>
        <w:rPr>
          <w:rFonts w:ascii="SimSun" w:eastAsia="SimSun" w:hAnsi="SimSun" w:cs="SimSun"/>
        </w:rPr>
        <w:t>号，邮编</w:t>
      </w:r>
      <w:r>
        <w:rPr>
          <w:rFonts w:ascii="Times New Roman" w:eastAsia="Times New Roman" w:hAnsi="Times New Roman" w:cs="Times New Roman"/>
        </w:rPr>
        <w:t>300270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六、学校概况：天津外国语大学是一所以外国语言文学学科为优势学科，多学科协调发展、特色鲜明的高等学校，是全国最早独立设置的八所高等外语院校之一。学校前身之一是始建于</w:t>
      </w:r>
      <w:r>
        <w:rPr>
          <w:rFonts w:ascii="Times New Roman" w:eastAsia="Times New Roman" w:hAnsi="Times New Roman" w:cs="Times New Roman"/>
        </w:rPr>
        <w:t>1921</w:t>
      </w:r>
      <w:r>
        <w:rPr>
          <w:rFonts w:ascii="SimSun" w:eastAsia="SimSun" w:hAnsi="SimSun" w:cs="SimSun"/>
        </w:rPr>
        <w:t>年的天津工商大学，主体前身是</w:t>
      </w:r>
      <w:r>
        <w:rPr>
          <w:rFonts w:ascii="Times New Roman" w:eastAsia="Times New Roman" w:hAnsi="Times New Roman" w:cs="Times New Roman"/>
        </w:rPr>
        <w:t>1964</w:t>
      </w:r>
      <w:r>
        <w:rPr>
          <w:rFonts w:ascii="SimSun" w:eastAsia="SimSun" w:hAnsi="SimSun" w:cs="SimSun"/>
        </w:rPr>
        <w:t>年成立的秦皇岛外语专科学校，</w:t>
      </w:r>
      <w:r>
        <w:rPr>
          <w:rFonts w:ascii="Times New Roman" w:eastAsia="Times New Roman" w:hAnsi="Times New Roman" w:cs="Times New Roman"/>
        </w:rPr>
        <w:t>1974</w:t>
      </w:r>
      <w:r>
        <w:rPr>
          <w:rFonts w:ascii="SimSun" w:eastAsia="SimSun" w:hAnsi="SimSun" w:cs="SimSun"/>
        </w:rPr>
        <w:t>年更名重组为天津外国语学院，后经教育部批准更名为天津外国语大学。</w:t>
      </w:r>
      <w:r>
        <w:rPr>
          <w:rFonts w:ascii="Times New Roman" w:eastAsia="Times New Roman" w:hAnsi="Times New Roman" w:cs="Times New Roman"/>
        </w:rPr>
        <w:t>1981</w:t>
      </w:r>
      <w:r>
        <w:rPr>
          <w:rFonts w:ascii="SimSun" w:eastAsia="SimSun" w:hAnsi="SimSun" w:cs="SimSun"/>
        </w:rPr>
        <w:t>年被国务院学位委员会批准为首批硕士学位授予单位，</w:t>
      </w:r>
      <w:r>
        <w:rPr>
          <w:rFonts w:ascii="Times New Roman" w:eastAsia="Times New Roman" w:hAnsi="Times New Roman" w:cs="Times New Roman"/>
        </w:rPr>
        <w:t>2012</w:t>
      </w:r>
      <w:r>
        <w:rPr>
          <w:rFonts w:ascii="SimSun" w:eastAsia="SimSun" w:hAnsi="SimSun" w:cs="SimSun"/>
        </w:rPr>
        <w:t>年获批服务国家特殊需求博士人才培养项目，人才培养涵盖本、硕、博三个层次。学校现有</w:t>
      </w:r>
      <w:r>
        <w:rPr>
          <w:rFonts w:ascii="Times New Roman" w:eastAsia="Times New Roman" w:hAnsi="Times New Roman" w:cs="Times New Roman"/>
        </w:rPr>
        <w:t>2</w:t>
      </w:r>
      <w:r>
        <w:rPr>
          <w:rFonts w:ascii="SimSun" w:eastAsia="SimSun" w:hAnsi="SimSun" w:cs="SimSun"/>
        </w:rPr>
        <w:t>个校区，总占地面积千余亩。学校现有</w:t>
      </w:r>
      <w:r>
        <w:rPr>
          <w:rFonts w:ascii="Times New Roman" w:eastAsia="Times New Roman" w:hAnsi="Times New Roman" w:cs="Times New Roman"/>
        </w:rPr>
        <w:t>57</w:t>
      </w:r>
      <w:r>
        <w:rPr>
          <w:rFonts w:ascii="SimSun" w:eastAsia="SimSun" w:hAnsi="SimSun" w:cs="SimSun"/>
        </w:rPr>
        <w:t>个本科专业，其中国家级特色专业、国家级本科专业综合改革试点项目</w:t>
      </w:r>
      <w:r>
        <w:rPr>
          <w:rFonts w:ascii="Times New Roman" w:eastAsia="Times New Roman" w:hAnsi="Times New Roman" w:cs="Times New Roman"/>
        </w:rPr>
        <w:t>5</w:t>
      </w:r>
      <w:r>
        <w:rPr>
          <w:rFonts w:ascii="SimSun" w:eastAsia="SimSun" w:hAnsi="SimSun" w:cs="SimSun"/>
        </w:rPr>
        <w:t>个，国家级精品课程、国家级精品资源共享课程和教育部来华留学英语授课品牌课程</w:t>
      </w:r>
      <w:r>
        <w:rPr>
          <w:rFonts w:ascii="Times New Roman" w:eastAsia="Times New Roman" w:hAnsi="Times New Roman" w:cs="Times New Roman"/>
        </w:rPr>
        <w:t>4</w:t>
      </w:r>
      <w:r>
        <w:rPr>
          <w:rFonts w:ascii="SimSun" w:eastAsia="SimSun" w:hAnsi="SimSun" w:cs="SimSun"/>
        </w:rPr>
        <w:t>门。学校十分重视并积极开展对外学术文化交流，先后与世界</w:t>
      </w:r>
      <w:r>
        <w:rPr>
          <w:rFonts w:ascii="Times New Roman" w:eastAsia="Times New Roman" w:hAnsi="Times New Roman" w:cs="Times New Roman"/>
        </w:rPr>
        <w:t>30</w:t>
      </w:r>
      <w:r>
        <w:rPr>
          <w:rFonts w:ascii="SimSun" w:eastAsia="SimSun" w:hAnsi="SimSun" w:cs="SimSun"/>
        </w:rPr>
        <w:t>余个国家的近</w:t>
      </w:r>
      <w:r>
        <w:rPr>
          <w:rFonts w:ascii="Times New Roman" w:eastAsia="Times New Roman" w:hAnsi="Times New Roman" w:cs="Times New Roman"/>
        </w:rPr>
        <w:t>200</w:t>
      </w:r>
      <w:r>
        <w:rPr>
          <w:rFonts w:ascii="SimSun" w:eastAsia="SimSun" w:hAnsi="SimSun" w:cs="SimSun"/>
        </w:rPr>
        <w:t>所大学和教育机构建立了友好合作关系，在海外建有</w:t>
      </w:r>
      <w:r>
        <w:rPr>
          <w:rFonts w:ascii="Times New Roman" w:eastAsia="Times New Roman" w:hAnsi="Times New Roman" w:cs="Times New Roman"/>
        </w:rPr>
        <w:t>8</w:t>
      </w:r>
      <w:r>
        <w:rPr>
          <w:rFonts w:ascii="SimSun" w:eastAsia="SimSun" w:hAnsi="SimSun" w:cs="SimSun"/>
        </w:rPr>
        <w:t>所孔子学院。目前，在校研究生、本科生万余人。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在规定年限内达到所在专业毕业要求者，颁发天津外国语大学全日制普通高等学校本科毕业证书，对符合《天津外国语大学本科学士学位授予工作细则》要求的毕业生，授予学士学位，颁发学位证书。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学校设立招生委员会，并成立</w:t>
      </w:r>
      <w:r>
        <w:rPr>
          <w:rFonts w:ascii="Times New Roman" w:eastAsia="Times New Roman" w:hAnsi="Times New Roman" w:cs="Times New Roman"/>
        </w:rPr>
        <w:t>2018</w:t>
      </w:r>
      <w:r>
        <w:rPr>
          <w:rFonts w:ascii="SimSun" w:eastAsia="SimSun" w:hAnsi="SimSun" w:cs="SimSun"/>
        </w:rPr>
        <w:t>年招生工作领导小组，负责全校本科生的招生录取工作。招生委员会下设招生办公室，协调处理日常的招生工作。学校纪检监察部门对招生录取工作进行全员、全程监督。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根据社会需求及学校学科专业布局，制定学校</w:t>
      </w:r>
      <w:r>
        <w:rPr>
          <w:rFonts w:ascii="Times New Roman" w:eastAsia="Times New Roman" w:hAnsi="Times New Roman" w:cs="Times New Roman"/>
        </w:rPr>
        <w:t>2018</w:t>
      </w:r>
      <w:r>
        <w:rPr>
          <w:rFonts w:ascii="SimSun" w:eastAsia="SimSun" w:hAnsi="SimSun" w:cs="SimSun"/>
        </w:rPr>
        <w:t>年招生计划，经教育部核准，在规定时间内，下达各省（市、自治区）招生主管部门，由各省（市、自治区）招生主管部门向考生公布，同时学校还将通过网络等方式向社会公布。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学校根据国家核定的年度招生规模，预留</w:t>
      </w:r>
      <w:r>
        <w:rPr>
          <w:rFonts w:ascii="Times New Roman" w:eastAsia="Times New Roman" w:hAnsi="Times New Roman" w:cs="Times New Roman"/>
        </w:rPr>
        <w:t>1%</w:t>
      </w:r>
      <w:r>
        <w:rPr>
          <w:rFonts w:ascii="SimSun" w:eastAsia="SimSun" w:hAnsi="SimSun" w:cs="SimSun"/>
        </w:rPr>
        <w:t>的招生计划，用于解决平行志愿投档省份，服从专业调剂的进档考生的录取问题。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学校求索荣誉学院的生源是在已被学校录取的新生中选拔，具体的筛选条件将通过学校网站向社会公布。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学费收取按天津市规定的标准执行，文科类（不含外国语言文学类）专业：每生每学年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元；数字媒体艺术专业：每生每学年</w:t>
      </w:r>
      <w:r>
        <w:rPr>
          <w:rFonts w:ascii="Times New Roman" w:eastAsia="Times New Roman" w:hAnsi="Times New Roman" w:cs="Times New Roman"/>
        </w:rPr>
        <w:t>12000</w:t>
      </w:r>
      <w:r>
        <w:rPr>
          <w:rFonts w:ascii="SimSun" w:eastAsia="SimSun" w:hAnsi="SimSun" w:cs="SimSun"/>
        </w:rPr>
        <w:t>元；动画专业：每生每学年</w:t>
      </w:r>
      <w:r>
        <w:rPr>
          <w:rFonts w:ascii="Times New Roman" w:eastAsia="Times New Roman" w:hAnsi="Times New Roman" w:cs="Times New Roman"/>
        </w:rPr>
        <w:t>15000</w:t>
      </w:r>
      <w:r>
        <w:rPr>
          <w:rFonts w:ascii="SimSun" w:eastAsia="SimSun" w:hAnsi="SimSun" w:cs="SimSun"/>
        </w:rPr>
        <w:t>元。上述学费不包含学生自愿参加的特色培养项目费用，如国际交流项目和天津市教育体制改革项目等。根据住宿条件的不同，马场道校区一年级</w:t>
      </w:r>
      <w:r>
        <w:rPr>
          <w:rFonts w:ascii="Times New Roman" w:eastAsia="Times New Roman" w:hAnsi="Times New Roman" w:cs="Times New Roman"/>
        </w:rPr>
        <w:t>8</w:t>
      </w:r>
      <w:r>
        <w:rPr>
          <w:rFonts w:ascii="SimSun" w:eastAsia="SimSun" w:hAnsi="SimSun" w:cs="SimSun"/>
        </w:rPr>
        <w:t>人间，住宿费为每生每学年</w:t>
      </w:r>
      <w:r>
        <w:rPr>
          <w:rFonts w:ascii="Times New Roman" w:eastAsia="Times New Roman" w:hAnsi="Times New Roman" w:cs="Times New Roman"/>
        </w:rPr>
        <w:t>800</w:t>
      </w:r>
      <w:r>
        <w:rPr>
          <w:rFonts w:ascii="SimSun" w:eastAsia="SimSun" w:hAnsi="SimSun" w:cs="SimSun"/>
        </w:rPr>
        <w:t>元，二年级及以上</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元；滨海校区</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依据教育部颁布的《教育部关于做好</w:t>
      </w:r>
      <w:r>
        <w:rPr>
          <w:rFonts w:ascii="Times New Roman" w:eastAsia="Times New Roman" w:hAnsi="Times New Roman" w:cs="Times New Roman"/>
        </w:rPr>
        <w:t>2018</w:t>
      </w:r>
      <w:r>
        <w:rPr>
          <w:rFonts w:ascii="SimSun" w:eastAsia="SimSun" w:hAnsi="SimSun" w:cs="SimSun"/>
        </w:rPr>
        <w:t>年普通高校招生工作的通知》，以全国普通高等学校统一招生考试的成绩及考生志愿为主要依据，本着公平、公正、公开的原则，德、智、体、美全面考核、综合评价，择优录取。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投档的省区：根据生源情况确定提档比例，提档比例原则上不超过招生计划的</w:t>
      </w:r>
      <w:r>
        <w:rPr>
          <w:rFonts w:ascii="Times New Roman" w:eastAsia="Times New Roman" w:hAnsi="Times New Roman" w:cs="Times New Roman"/>
        </w:rPr>
        <w:t>110%</w:t>
      </w:r>
      <w:r>
        <w:rPr>
          <w:rFonts w:ascii="SimSun" w:eastAsia="SimSun" w:hAnsi="SimSun" w:cs="SimSun"/>
        </w:rPr>
        <w:t>；凡已投档的考生，符合录取条件，服从专业志愿调剂，学校将全部录取，不做退档处理。对实行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投档的省区：优先录取第一志愿报考我校的考生，如第一志愿考生不足，录取第二志愿考生，依次类推。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安排专业时，按照分数优先、遵循志愿的原则，即将考生由高分到低分排序，依次按考生填报的专业志愿顺序安排专业；同分条件下，优先安排专业相关科目分数高的考生（外语类专业的相关科目依次为英语、语文、数学；非外语类专业的相关科目依次为英语、数学、语文）。如所填专业志愿都无法满足，服从专业调剂者，将随机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享受省（市、自治区）级招生主管部门规定的全国性政策加分的考生，按各省（市、自治区）的规定加分进档，但进档后排序时以实考分为准，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学校对江苏省考生（高水平运动员除外）的学业水平测试选测科目等级要求为</w:t>
      </w:r>
      <w:r>
        <w:rPr>
          <w:rFonts w:ascii="Times New Roman" w:eastAsia="Times New Roman" w:hAnsi="Times New Roman" w:cs="Times New Roman"/>
        </w:rPr>
        <w:t>BB</w:t>
      </w:r>
      <w:r>
        <w:rPr>
          <w:rFonts w:ascii="SimSun" w:eastAsia="SimSun" w:hAnsi="SimSun" w:cs="SimSun"/>
        </w:rPr>
        <w:t>（含）以上。录取及安排专业时按照等级级差法将考生排序，即将进档考生的选测科目等级折算成等级级差分，在投档分的基础上加上等级级差分后由高到低将考生排序录取及安排专业。选测科目等级折算标准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年在浙江招生专业（类）、</w:t>
      </w:r>
      <w:r>
        <w:rPr>
          <w:rFonts w:ascii="Times New Roman" w:eastAsia="Times New Roman" w:hAnsi="Times New Roman" w:cs="Times New Roman"/>
        </w:rPr>
        <w:t>2020</w:t>
      </w:r>
      <w:r>
        <w:rPr>
          <w:rFonts w:ascii="SimSun" w:eastAsia="SimSun" w:hAnsi="SimSun" w:cs="SimSun"/>
        </w:rPr>
        <w:t>年在浙江、北京、天津、山东、海南招生专业（类）对选考科目要求、综合素质档案的使用办法以当地教育招生考试主管部门及学校官方网站公示为准。</w:t>
      </w:r>
      <w:r>
        <w:rPr>
          <w:rFonts w:ascii="Times New Roman" w:eastAsia="Times New Roman" w:hAnsi="Times New Roman" w:cs="Times New Roman"/>
        </w:rPr>
        <w:t>2018</w:t>
      </w:r>
      <w:r>
        <w:rPr>
          <w:rFonts w:ascii="SimSun" w:eastAsia="SimSun" w:hAnsi="SimSun" w:cs="SimSun"/>
        </w:rPr>
        <w:t>年在浙江省录取执行该省高考招生录取工作政策。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考生体检标准按教育部、卫生部、中国残疾人联合会颁布的《普通高等学校招生体检工作指导意见》规定执行。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外语类专业的考生，须参加所在省（市、自治区）级教育招生考试主管部门统一组织的外语口试，口试成绩不合格者，外语类专业不予录取。考生所在省级教育招生考试主管部门不组织外语口试的，学校对口试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学校外语类专业一般招收英语语种考生，但日语、德语、西班牙语、法语专业也招收相应语种的考生</w:t>
      </w:r>
      <w:r>
        <w:rPr>
          <w:rFonts w:ascii="Times New Roman" w:eastAsia="Times New Roman" w:hAnsi="Times New Roman" w:cs="Times New Roman"/>
        </w:rPr>
        <w:t>,</w:t>
      </w:r>
      <w:r>
        <w:rPr>
          <w:rFonts w:ascii="SimSun" w:eastAsia="SimSun" w:hAnsi="SimSun" w:cs="SimSun"/>
        </w:rPr>
        <w:t>俄语、白俄罗斯语、乌克兰语也招收俄语语种考生。非外语类专业的公共外语课程以英语为主。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动画、数字媒体艺术专业按艺术类招生，要求考生必须参加所在省级教育招生考试主管部门组织的美术类统考。对达到省控美术类分数线的进档考生，学校按照文化课成绩与专业课成绩相加之和的综合成绩从高到低排序录取，当综合成绩相同，优先录取专业课成绩高的考生，当综合成绩与专业课成绩均相同时，优先录取相关科目分数高的考生（相关科目依次为英语、数学、语文）；天津市、安徽省美术类考生的录取排序分数按照当省政策执行。入学后学校将对艺术类考生进行专业复试，发现弄虚作假者将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学校招生工作按照学校负责、省（市、自治区）教育招生考试主管部门监督的原则实施开展，工作全程受学校及上级纪检监察部门监督。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被我校录取的考生，经各省（市、自治区）教育招生考试主管部门批准后，由学校招生办公室直接向考生邮寄录取通知书。考生可于录取期间登陆我校招生网站，查询录取结果。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新生持录取通知书，按学校要求和规定的期限到校报到，并办理入学注册手续。因故不能按期报到者，应当书面向学校请假。未请假或请假逾期者（不可抗力等正当事由除外）视为自动放弃入学资格。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工商管理类（包含市场营销、会计学、财务管理、国际商务、人力资源管理）、国际经济与贸易、金融学、经济学、旅游管理、信息管理与信息系统、法学、行政管理、国际政治、外交学、新闻传播学类（包含新闻学、传播学）、汉语言文学、广告学、教育技术学、数字媒体技术、动画、数字媒体艺术专业办学地点在滨海校区；外国语言文学英语（包含英语、翻译、商务英语）、日语、法语、俄语、德语、西班牙语、意大利语、葡萄牙语、波兰语、土耳其语、匈牙利语、捷克语、芬兰语、白俄罗斯语、希腊语、塞尔维亚语、保加利亚语、罗马尼亚语、朝鲜语、阿拉伯语、斯瓦希里语、缅甸语、印尼语、马来语、泰语、乌尔都语、希伯来语、印地语、乌克兰语、波斯语、豪萨语、柬埔寨语、汉语国际教育专业办学地点在五大道校区</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学校专业介绍、奖贷学金政策等详细信息见学校网站或当年招生简章。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http://www.tjfsu.edu.cn/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本科招生网：</w:t>
      </w:r>
      <w:r>
        <w:rPr>
          <w:rFonts w:ascii="Times New Roman" w:eastAsia="Times New Roman" w:hAnsi="Times New Roman" w:cs="Times New Roman"/>
        </w:rPr>
        <w:t xml:space="preserve">http://211.68.208.57/zsw/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twzhaoban</w:t>
      </w:r>
      <w:r>
        <w:rPr>
          <w:rFonts w:ascii="SimSun" w:eastAsia="SimSun" w:hAnsi="SimSun" w:cs="SimSun"/>
        </w:rPr>
        <w:t>＠</w:t>
      </w:r>
      <w:r>
        <w:rPr>
          <w:rFonts w:ascii="Times New Roman" w:eastAsia="Times New Roman" w:hAnsi="Times New Roman" w:cs="Times New Roman"/>
        </w:rPr>
        <w:t xml:space="preserve">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022-23247377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微信公众平台：天津外国语大学招办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年度学校普通本科招生工作，章程经学校招生委员会通过，报上级主管部门批准后颁布实施。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本章程的解释权属学校招生工作委员会。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91.html" TargetMode="External" /><Relationship Id="rId5" Type="http://schemas.openxmlformats.org/officeDocument/2006/relationships/hyperlink" Target="http://www.gk114.com/a/gxzs/zszc/tianjin/2019/0221/639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