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天津工业大学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根据《中华人民共和国教育法》、《中华人民共和国高等教育法》、《教育部关于做好</w:t>
      </w:r>
      <w:r>
        <w:rPr>
          <w:rFonts w:ascii="Times New Roman" w:eastAsia="Times New Roman" w:hAnsi="Times New Roman" w:cs="Times New Roman"/>
        </w:rPr>
        <w:t>2020</w:t>
      </w:r>
      <w:r>
        <w:rPr>
          <w:rFonts w:ascii="SimSun" w:eastAsia="SimSun" w:hAnsi="SimSun" w:cs="SimSun"/>
        </w:rPr>
        <w:t>年普通高校招生工作的通知》</w:t>
      </w:r>
      <w:r>
        <w:rPr>
          <w:rFonts w:ascii="Times New Roman" w:eastAsia="Times New Roman" w:hAnsi="Times New Roman" w:cs="Times New Roman"/>
        </w:rPr>
        <w:t>(</w:t>
      </w:r>
      <w:r>
        <w:rPr>
          <w:rFonts w:ascii="SimSun" w:eastAsia="SimSun" w:hAnsi="SimSun" w:cs="SimSun"/>
        </w:rPr>
        <w:t>教学</w:t>
      </w:r>
      <w:r>
        <w:rPr>
          <w:rFonts w:ascii="Times New Roman" w:eastAsia="Times New Roman" w:hAnsi="Times New Roman" w:cs="Times New Roman"/>
        </w:rPr>
        <w:t>[2019]4</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及招生考试工作其他相关文件，为了规范招生工作和维护考生合法权益，结合我校招生工作实际，制定本章程。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本章程是我校向社会公布有关招生政策、规定及相关信息的最主要形式，是我校开展招生工作和录取新生最重要的依据。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本章程经天津市教育委员会审核后，通过学校招生网以及教育部</w:t>
      </w:r>
      <w:r>
        <w:rPr>
          <w:rFonts w:ascii="Times New Roman" w:eastAsia="Times New Roman" w:hAnsi="Times New Roman" w:cs="Times New Roman"/>
        </w:rPr>
        <w:t>“</w:t>
      </w:r>
      <w:r>
        <w:rPr>
          <w:rFonts w:ascii="SimSun" w:eastAsia="SimSun" w:hAnsi="SimSun" w:cs="SimSun"/>
        </w:rPr>
        <w:t>阳光高考</w:t>
      </w:r>
      <w:r>
        <w:rPr>
          <w:rFonts w:ascii="Times New Roman" w:eastAsia="Times New Roman" w:hAnsi="Times New Roman" w:cs="Times New Roman"/>
        </w:rPr>
        <w:t>”</w:t>
      </w:r>
      <w:r>
        <w:rPr>
          <w:rFonts w:ascii="SimSun" w:eastAsia="SimSun" w:hAnsi="SimSun" w:cs="SimSun"/>
        </w:rPr>
        <w:t>招生信息平台向社会公布，内容涵盖所有生源省市。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学校性质及简况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学校全称：天津工业大学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学校代码：</w:t>
      </w:r>
      <w:r>
        <w:rPr>
          <w:rFonts w:ascii="Times New Roman" w:eastAsia="Times New Roman" w:hAnsi="Times New Roman" w:cs="Times New Roman"/>
        </w:rPr>
        <w:t xml:space="preserve">10058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办学层次：博士、硕士、本科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w:t>
      </w:r>
      <w:r>
        <w:rPr>
          <w:rFonts w:ascii="Times New Roman" w:eastAsia="Times New Roman" w:hAnsi="Times New Roman" w:cs="Times New Roman"/>
        </w:rPr>
        <w:t xml:space="preserve">: </w:t>
      </w:r>
      <w:r>
        <w:rPr>
          <w:rFonts w:ascii="SimSun" w:eastAsia="SimSun" w:hAnsi="SimSun" w:cs="SimSun"/>
        </w:rPr>
        <w:t>天津市西青区宾水西道</w:t>
      </w:r>
      <w:r>
        <w:rPr>
          <w:rFonts w:ascii="Times New Roman" w:eastAsia="Times New Roman" w:hAnsi="Times New Roman" w:cs="Times New Roman"/>
        </w:rPr>
        <w:t>399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天津工业大学是教育部与天津市共建、天津市重点建设的全日制普通高等学校。</w:t>
      </w:r>
      <w:r>
        <w:rPr>
          <w:rFonts w:ascii="Times New Roman" w:eastAsia="Times New Roman" w:hAnsi="Times New Roman" w:cs="Times New Roman"/>
        </w:rPr>
        <w:t>2017</w:t>
      </w:r>
      <w:r>
        <w:rPr>
          <w:rFonts w:ascii="SimSun" w:eastAsia="SimSun" w:hAnsi="SimSun" w:cs="SimSun"/>
        </w:rPr>
        <w:t>年入选国家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世界一流学科建设高校，</w:t>
      </w:r>
      <w:r>
        <w:rPr>
          <w:rFonts w:ascii="Times New Roman" w:eastAsia="Times New Roman" w:hAnsi="Times New Roman" w:cs="Times New Roman"/>
        </w:rPr>
        <w:t>2018</w:t>
      </w:r>
      <w:r>
        <w:rPr>
          <w:rFonts w:ascii="SimSun" w:eastAsia="SimSun" w:hAnsi="SimSun" w:cs="SimSun"/>
        </w:rPr>
        <w:t>年获批国防科工局与天津市共建国防高校，是我国最早开展纺织高等教育的学府之一，现已发展成为一所以工为主，工、理、文、管、经、法、艺协调发展的多科性工业大学。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学校秉承</w:t>
      </w:r>
      <w:r>
        <w:rPr>
          <w:rFonts w:ascii="Times New Roman" w:eastAsia="Times New Roman" w:hAnsi="Times New Roman" w:cs="Times New Roman"/>
        </w:rPr>
        <w:t>“</w:t>
      </w:r>
      <w:r>
        <w:rPr>
          <w:rFonts w:ascii="SimSun" w:eastAsia="SimSun" w:hAnsi="SimSun" w:cs="SimSun"/>
        </w:rPr>
        <w:t>教研相长、学能并进</w:t>
      </w:r>
      <w:r>
        <w:rPr>
          <w:rFonts w:ascii="Times New Roman" w:eastAsia="Times New Roman" w:hAnsi="Times New Roman" w:cs="Times New Roman"/>
        </w:rPr>
        <w:t>”</w:t>
      </w:r>
      <w:r>
        <w:rPr>
          <w:rFonts w:ascii="SimSun" w:eastAsia="SimSun" w:hAnsi="SimSun" w:cs="SimSun"/>
        </w:rPr>
        <w:t>的办学理念，光大</w:t>
      </w:r>
      <w:r>
        <w:rPr>
          <w:rFonts w:ascii="Times New Roman" w:eastAsia="Times New Roman" w:hAnsi="Times New Roman" w:cs="Times New Roman"/>
        </w:rPr>
        <w:t>“</w:t>
      </w:r>
      <w:r>
        <w:rPr>
          <w:rFonts w:ascii="SimSun" w:eastAsia="SimSun" w:hAnsi="SimSun" w:cs="SimSun"/>
        </w:rPr>
        <w:t>严谨、严格、求实、求是</w:t>
      </w:r>
      <w:r>
        <w:rPr>
          <w:rFonts w:ascii="Times New Roman" w:eastAsia="Times New Roman" w:hAnsi="Times New Roman" w:cs="Times New Roman"/>
        </w:rPr>
        <w:t>”</w:t>
      </w:r>
      <w:r>
        <w:rPr>
          <w:rFonts w:ascii="SimSun" w:eastAsia="SimSun" w:hAnsi="SimSun" w:cs="SimSun"/>
        </w:rPr>
        <w:t>的学校品格，弘扬</w:t>
      </w:r>
      <w:r>
        <w:rPr>
          <w:rFonts w:ascii="Times New Roman" w:eastAsia="Times New Roman" w:hAnsi="Times New Roman" w:cs="Times New Roman"/>
        </w:rPr>
        <w:t>“</w:t>
      </w:r>
      <w:r>
        <w:rPr>
          <w:rFonts w:ascii="SimSun" w:eastAsia="SimSun" w:hAnsi="SimSun" w:cs="SimSun"/>
        </w:rPr>
        <w:t>爱校尚德、励学笃行、求实创新</w:t>
      </w:r>
      <w:r>
        <w:rPr>
          <w:rFonts w:ascii="Times New Roman" w:eastAsia="Times New Roman" w:hAnsi="Times New Roman" w:cs="Times New Roman"/>
        </w:rPr>
        <w:t>”</w:t>
      </w:r>
      <w:r>
        <w:rPr>
          <w:rFonts w:ascii="SimSun" w:eastAsia="SimSun" w:hAnsi="SimSun" w:cs="SimSun"/>
        </w:rPr>
        <w:t>的学校精神，坚持育人为本，以改革创新为动力，大力实施质量立校、特色兴校、人才强校、依法治校发展战略，着力建设具有世界一流学科的高水平大学。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招生组织机构与监督机制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我校招生工作组织机构由本科招生工作领导小组、本科招生委员会、本科招生办公室三级机构组成。本科招生工作领导小组是招生工作的最高决策机构，负责研究制定学校招生政策，领导、监督招生工作的具体实施，协调、处理有关招生工作的重大事宜；本科招生委员会吸纳教师、学生及校友代表参加，对招生简章、招生计划、招生方案、录取原则等提供咨询意见和建议，对我校招生录取工作进行监督；本科招生办公室为组织和实施招生工作的常设机构，负责学校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我校招生工作在驻校纪检监察部门监督下进行，同时接受社会监督。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我校根据发展规划、办学条件、学科要求、生源状况和社会需求制定</w:t>
      </w:r>
      <w:r>
        <w:rPr>
          <w:rFonts w:ascii="Times New Roman" w:eastAsia="Times New Roman" w:hAnsi="Times New Roman" w:cs="Times New Roman"/>
        </w:rPr>
        <w:t>2020</w:t>
      </w:r>
      <w:r>
        <w:rPr>
          <w:rFonts w:ascii="SimSun" w:eastAsia="SimSun" w:hAnsi="SimSun" w:cs="SimSun"/>
        </w:rPr>
        <w:t>年面向</w:t>
      </w:r>
      <w:r>
        <w:rPr>
          <w:rFonts w:ascii="Times New Roman" w:eastAsia="Times New Roman" w:hAnsi="Times New Roman" w:cs="Times New Roman"/>
        </w:rPr>
        <w:t>31</w:t>
      </w:r>
      <w:r>
        <w:rPr>
          <w:rFonts w:ascii="SimSun" w:eastAsia="SimSun" w:hAnsi="SimSun" w:cs="SimSun"/>
        </w:rPr>
        <w:t>个省（市、自治区）的分专业招生计划。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经教育部核准下达的具体招生专业、招生计划数，按照规定时间报送到各省（市、自治区）普通高校招生主管部门，具体分省分专业招生计划以各省（市、自治区）普通高校招生主管部门公布的为准。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我校本科预留计划不超过本科总计划的</w:t>
      </w:r>
      <w:r>
        <w:rPr>
          <w:rFonts w:ascii="Times New Roman" w:eastAsia="Times New Roman" w:hAnsi="Times New Roman" w:cs="Times New Roman"/>
        </w:rPr>
        <w:t>1%</w:t>
      </w:r>
      <w:r>
        <w:rPr>
          <w:rFonts w:ascii="SimSun" w:eastAsia="SimSun" w:hAnsi="SimSun" w:cs="SimSun"/>
        </w:rPr>
        <w:t>，用于调节各地统考上线生源的不平衡。在录取过程中，坚持集体决议，公开透明原则，根据各省（市、自治区）的报考生源状况，适当使用。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我校招生录取工作遵循公平竞争、公正选拔、公开程序等原则，执行教育部和省（市、自治区）招生委员会制定的录取政策，并结合我校招生工作实际情况和本章程的有关规定，以考生填报的志愿和高考文化成绩为主要依据，实行德智体美劳全面考核，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我校根据在各省（市、自治区）的招生计划和考生报考情况，确定调档比例。实行平行志愿的省（市、自治区），调档比例一般不超过招生计划的</w:t>
      </w:r>
      <w:r>
        <w:rPr>
          <w:rFonts w:ascii="Times New Roman" w:eastAsia="Times New Roman" w:hAnsi="Times New Roman" w:cs="Times New Roman"/>
        </w:rPr>
        <w:t>105%</w:t>
      </w:r>
      <w:r>
        <w:rPr>
          <w:rFonts w:ascii="SimSun" w:eastAsia="SimSun" w:hAnsi="SimSun" w:cs="SimSun"/>
        </w:rPr>
        <w:t>；未实施平行志愿的省（市、自治区），调档比例一般不超过招生计划的</w:t>
      </w:r>
      <w:r>
        <w:rPr>
          <w:rFonts w:ascii="Times New Roman" w:eastAsia="Times New Roman" w:hAnsi="Times New Roman" w:cs="Times New Roman"/>
        </w:rPr>
        <w:t>120%</w:t>
      </w:r>
      <w:r>
        <w:rPr>
          <w:rFonts w:ascii="SimSun" w:eastAsia="SimSun" w:hAnsi="SimSun" w:cs="SimSun"/>
        </w:rPr>
        <w:t>；录取时，我校将根据各省（市、自治区）生源状况和预留计划情况适量调整招生计划。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高考录取实行平行志愿投档的省（市、自治区），执行所在省（市、自治区）相关政策。未实施平行志愿的省（市、自治区），学校录取遵循志愿优先原则，优先录取第一志愿报考我校的考生，当各省（市、自治区）公布的同批次最低控制线上第一志愿报考我校的人数少于招生计划数时，录取第二志愿报考我校的考生，并以此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对政策加分以及同等条件下优先录取的原则，按照教育部《</w:t>
      </w:r>
      <w:r>
        <w:rPr>
          <w:rFonts w:ascii="Times New Roman" w:eastAsia="Times New Roman" w:hAnsi="Times New Roman" w:cs="Times New Roman"/>
        </w:rPr>
        <w:t>2020</w:t>
      </w:r>
      <w:r>
        <w:rPr>
          <w:rFonts w:ascii="SimSun" w:eastAsia="SimSun" w:hAnsi="SimSun" w:cs="SimSun"/>
        </w:rPr>
        <w:t>年普通高等学校招生工作规定》以及考生所在省（市、自治区）招生主管部门的规定执行。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专业录取按</w:t>
      </w:r>
      <w:r>
        <w:rPr>
          <w:rFonts w:ascii="Times New Roman" w:eastAsia="Times New Roman" w:hAnsi="Times New Roman" w:cs="Times New Roman"/>
        </w:rPr>
        <w:t>“</w:t>
      </w:r>
      <w:r>
        <w:rPr>
          <w:rFonts w:ascii="SimSun" w:eastAsia="SimSun" w:hAnsi="SimSun" w:cs="SimSun"/>
        </w:rPr>
        <w:t>分数优先、遵循志愿、专业志愿不设分数级差</w:t>
      </w:r>
      <w:r>
        <w:rPr>
          <w:rFonts w:ascii="Times New Roman" w:eastAsia="Times New Roman" w:hAnsi="Times New Roman" w:cs="Times New Roman"/>
        </w:rPr>
        <w:t>”</w:t>
      </w:r>
      <w:r>
        <w:rPr>
          <w:rFonts w:ascii="SimSun" w:eastAsia="SimSun" w:hAnsi="SimSun" w:cs="SimSun"/>
        </w:rPr>
        <w:t>原则，即对同一投档单位的进档考生，先按投档成绩从高分到低分排队，并按排队顺序，从高分到低分依次按照考生填报的专业志愿顺序录取。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当同一投档单位、同一专业（不包括艺术类、体育类）考生的投档成绩相同时，按专业志愿顺序排序录取；如专业志愿顺序相同，再根据不同科类：理工类考生依次比较数学、语文、理科综合成绩进行录取；文史类考生依次比较语文、数学、文科综合成绩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考生在所报专业志愿均未被录取情况下，对服从专业调剂者，调到同一投档单位未录满专业；对不服从专业调剂者，作退档处理。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对高考录取有特殊规定的省市，其录取原则做如下说明：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对于内蒙古自治区考生，录取时按照</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的原则，在招生计划范围内，按考生填报的专业志愿顺序依次由高分到低分排队录取。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对于江苏省考生，我校普通类专业的学业水平测试要求及对选测科目的要求以我校招生计划公布的为准。对进档考生按照</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的办法排序录取，如投档分数相同，依次比较物理、化学（或生物）选测科目等级，优先录取排序较高者；如选测科目等级相同，参照第十三条中同分录取原则执行。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实施高考综合改革试点的上海、浙江、北京、天津、山东、海南等省市的招生录取工作，录取时按照各省市公布的改革方案及有关办法执行；高考改革试点省市的考生须满足我校选考科目要求；投档成绩相同时，按各省市确定的同分排序规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软件工程专业以及中外合作办学专业只录取有专业志愿的考生（不包括服从志愿）。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我校艺术类录取，按照教育部和各省（市、自治区）相关规定以及《天津工业大学</w:t>
      </w:r>
      <w:r>
        <w:rPr>
          <w:rFonts w:ascii="Times New Roman" w:eastAsia="Times New Roman" w:hAnsi="Times New Roman" w:cs="Times New Roman"/>
        </w:rPr>
        <w:t>2020</w:t>
      </w:r>
      <w:r>
        <w:rPr>
          <w:rFonts w:ascii="SimSun" w:eastAsia="SimSun" w:hAnsi="SimSun" w:cs="SimSun"/>
        </w:rPr>
        <w:t>年艺术类专业招生简章》（修订版）公布的录取原则执行。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我校高水平运动队录取依据《天津工业大学</w:t>
      </w:r>
      <w:r>
        <w:rPr>
          <w:rFonts w:ascii="Times New Roman" w:eastAsia="Times New Roman" w:hAnsi="Times New Roman" w:cs="Times New Roman"/>
        </w:rPr>
        <w:t>2020</w:t>
      </w:r>
      <w:r>
        <w:rPr>
          <w:rFonts w:ascii="SimSun" w:eastAsia="SimSun" w:hAnsi="SimSun" w:cs="SimSun"/>
        </w:rPr>
        <w:t>年高水平运动队招生简章》公布的录取原则执行。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考生的身体健康要求，依据教育部、原卫生部和中国残疾人联合会印发的《普通高等学校招生体检工作指导意见》和人力资源社会保障部、教育部、原卫生部《关于进一步规范入学和就业体检项目维护乙肝表面抗原携带者入学和就业权利的通知》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内地新疆班、少数民族预科班招生工作按教育部和学校有关规定执行。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我校英语专业要求英语语种考生；非英语、日语专业的公共外语课程均为英语，其他专业课不具备非英语语种开设条件，请非英语语种的考生谨慎填报。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我校在各省（市、自治区）录取批次以当地省（市、自治区）安排的批次为准。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我校实施学分制收费。学费标准遵照《天津市普通高等学校学分制收费改革试行方案》（津教委</w:t>
      </w:r>
      <w:r>
        <w:rPr>
          <w:rFonts w:ascii="Times New Roman" w:eastAsia="Times New Roman" w:hAnsi="Times New Roman" w:cs="Times New Roman"/>
        </w:rPr>
        <w:t>[2017]2</w:t>
      </w:r>
      <w:r>
        <w:rPr>
          <w:rFonts w:ascii="SimSun" w:eastAsia="SimSun" w:hAnsi="SimSun" w:cs="SimSun"/>
        </w:rPr>
        <w:t>号）执行，学生按学校培养计划正常完成学业（不含辅修、重修学分学费）所缴纳的学分学费和专业学费之和不高于按学年制收费的学费总额。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中外合作办学专业仍执行学年制收费。中外合作办学专业：与澳大利亚伍伦贡大学合作的电气工程及其自动化专业和通信工程专业学费</w:t>
      </w:r>
      <w:r>
        <w:rPr>
          <w:rFonts w:ascii="Times New Roman" w:eastAsia="Times New Roman" w:hAnsi="Times New Roman" w:cs="Times New Roman"/>
        </w:rPr>
        <w:t>22000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年，与美国博林格林州立大学合作的信息管理与信息系统（商务分析与智能管理）专业学费</w:t>
      </w:r>
      <w:r>
        <w:rPr>
          <w:rFonts w:ascii="Times New Roman" w:eastAsia="Times New Roman" w:hAnsi="Times New Roman" w:cs="Times New Roman"/>
        </w:rPr>
        <w:t>24000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录取与入学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被我校录取的考生，经各省（市、自治区）招生主管部门批准后，由本科招生办公室向考生发放录取通知书。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按国家招生规定录取的新生，持录取通知书，按我校有关要求和规定的期限到校办理入学手续。因故不能按期入学的，应当向学校请假。未请假或者请假逾期的，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应征入伍新生应先按我校要求办理入学手续，并在规定时间持我校录取通知书、身份证，以及在入伍地县（市、区）人民政府征兵办公室领取的《应征入伍普通高等学校录取新生保留入学资格申请表》到学校办理保留入学资格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在报到时对新生入学资格进行初步审查，审查合格的办理入学手续，予以注册学籍；审查发现新生的录取通知、考生信息等证明材料，与本人实际情况不符，或者有其他违反国家招生考试规定情形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新生入学后，我校将依据《天津工业大学本科生学籍管理规定》等规章制度进行管理，按照专业教学计划对学生进行培养，修满规定学分且成绩合格者准予毕业（提前修满学分者可提前毕业），并颁发天津工业大学全日制普通高等学校毕业证书（高职升本科毕业证书注明高职起点），依据《天津工业大学学士学位授予工作实施细则》，对符合授予条件的毕业生，授予学士学位，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奖学金与家庭经济困难学生资助措施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我校本科生奖学金包括政府奖学金、校级奖学金、社会奖学金等。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我校建立了以家庭经济困难学生资格认定为基础，以国家助学贷款为主体，奖、贷、助、补、减、勤多种措施有机结合的家庭经济困难学生资助政策体系，根据学生家庭经济困难程度的不同给予不同程度的资助。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招生咨询</w:t>
      </w:r>
      <w:r>
        <w:rPr>
          <w:rFonts w:ascii="Times New Roman" w:eastAsia="Times New Roman" w:hAnsi="Times New Roman" w:cs="Times New Roman"/>
        </w:rPr>
        <w:t xml:space="preserve">  </w:t>
      </w:r>
      <w:r>
        <w:rPr>
          <w:rFonts w:ascii="SimSun" w:eastAsia="SimSun" w:hAnsi="SimSun" w:cs="SimSun"/>
        </w:rPr>
        <w:t>录取信息查询方式</w:t>
      </w:r>
      <w:r>
        <w:rPr>
          <w:rFonts w:ascii="Times New Roman" w:eastAsia="Times New Roman" w:hAnsi="Times New Roman" w:cs="Times New Roman"/>
        </w:rPr>
        <w:t xml:space="preserve">  </w:t>
      </w:r>
      <w:r>
        <w:rPr>
          <w:rFonts w:ascii="SimSun" w:eastAsia="SimSun" w:hAnsi="SimSun" w:cs="SimSun"/>
        </w:rPr>
        <w:t>监督电话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招生咨询及录取信息查询通过以下方式：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http://www.tiangong.edu.cn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本科招生网地址：</w:t>
      </w:r>
      <w:r>
        <w:rPr>
          <w:rFonts w:ascii="Times New Roman" w:eastAsia="Times New Roman" w:hAnsi="Times New Roman" w:cs="Times New Roman"/>
        </w:rPr>
        <w:t>http://zsb.tiangong.edu.cn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022-83955227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招生办公室邮箱：</w:t>
      </w:r>
      <w:r>
        <w:rPr>
          <w:rFonts w:ascii="Times New Roman" w:eastAsia="Times New Roman" w:hAnsi="Times New Roman" w:cs="Times New Roman"/>
        </w:rPr>
        <w:t xml:space="preserve">zhaosheng@tiangong.edu.cn </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本科新生报到地址</w:t>
      </w:r>
      <w:r>
        <w:rPr>
          <w:rFonts w:ascii="Times New Roman" w:eastAsia="Times New Roman" w:hAnsi="Times New Roman" w:cs="Times New Roman"/>
        </w:rPr>
        <w:t>:</w:t>
      </w:r>
      <w:r>
        <w:rPr>
          <w:rFonts w:ascii="SimSun" w:eastAsia="SimSun" w:hAnsi="SimSun" w:cs="SimSun"/>
        </w:rPr>
        <w:t>天津市西青区宾水西道</w:t>
      </w:r>
      <w:r>
        <w:rPr>
          <w:rFonts w:ascii="Times New Roman" w:eastAsia="Times New Roman" w:hAnsi="Times New Roman" w:cs="Times New Roman"/>
        </w:rPr>
        <w:t>399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我校录取信息通过天津工业大学本科招生网公布。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在招生咨询过程中，我校咨询人员的意见、建议仅作为考生填报志愿的参考，不属学校录取承诺。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驻校纪检监察监督电话：</w:t>
      </w:r>
      <w:r>
        <w:rPr>
          <w:rFonts w:ascii="Times New Roman" w:eastAsia="Times New Roman" w:hAnsi="Times New Roman" w:cs="Times New Roman"/>
        </w:rPr>
        <w:t>022-83955181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我校在上海、浙江、北京、天津、海南、山东等高考综合改革试点省市招生专业对考试科目要求以及综合素质评价使用以两地教育招生考试部门及我校官方网站公示为准。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本章程仅适用于我校</w:t>
      </w:r>
      <w:r>
        <w:rPr>
          <w:rFonts w:ascii="Times New Roman" w:eastAsia="Times New Roman" w:hAnsi="Times New Roman" w:cs="Times New Roman"/>
        </w:rPr>
        <w:t>2020</w:t>
      </w:r>
      <w:r>
        <w:rPr>
          <w:rFonts w:ascii="SimSun" w:eastAsia="SimSun" w:hAnsi="SimSun" w:cs="SimSun"/>
        </w:rPr>
        <w:t>年度本科层次招生，本章程公布后，如遇国家或部分省（市、自治区）高考招生政策调整，我校将制定相应的录取政策并另行公布。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本章程自发布之日起开始执行。学校以往有关招生工作的政策、规定与本章程不一致的，一律废止，均以本章程公布的为准。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本章程由天津工业大学招生办公室负责解释。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天津医科大学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0/0621/16926.html" TargetMode="External" /><Relationship Id="rId5" Type="http://schemas.openxmlformats.org/officeDocument/2006/relationships/hyperlink" Target="http://www.gk114.com/a/gxzs/zszc/tianjin/2020/0621/16928.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