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w:t>
      </w:r>
      <w:r>
        <w:rPr>
          <w:rFonts w:ascii="Times New Roman" w:eastAsia="Times New Roman" w:hAnsi="Times New Roman" w:cs="Times New Roman"/>
        </w:rPr>
        <w:t xml:space="preserve"> </w:t>
      </w:r>
      <w:r>
        <w:rPr>
          <w:rFonts w:ascii="SimSun" w:eastAsia="SimSun" w:hAnsi="SimSun" w:cs="SimSun"/>
        </w:rPr>
        <w:t>、《中华人民共和国高等教育法》等相关法律法规，为了维护学校和考生的合法权益，依法招生，结合天津工业职业学院招生工作实际，特制定本章程。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本章程是社会了解天津工业职业学院有关招生政策、规定及相关信息的主要渠道，是学院开展招生咨询和录取工作的主要依据。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学院全称：天津工业职业学院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13700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学院地址：天津市北辰区京津快速路</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天铁校区地址：河北省邯郸市涉县天铁集团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天津工业职业学院是天津市高等职业院校提升办学水平示范院校、是天津市高等职业院校提升办学能力建设院校</w:t>
      </w:r>
      <w:r>
        <w:rPr>
          <w:rFonts w:ascii="Times New Roman" w:eastAsia="Times New Roman" w:hAnsi="Times New Roman" w:cs="Times New Roman"/>
        </w:rPr>
        <w:t>,</w:t>
      </w:r>
      <w:r>
        <w:rPr>
          <w:rFonts w:ascii="SimSun" w:eastAsia="SimSun" w:hAnsi="SimSun" w:cs="SimSun"/>
        </w:rPr>
        <w:t>已成为全国第二批现代学徒制试点院校。学院设有智能类、机械类、工业与信息类、经济管理类、工业技术类五大专业群，其中黑色冶金技术专业是中央财政支持重点建设专业，机电一体化技术、信息安全与管理、电子商务、电气自动化技术、会计、电子信息工程技术专业是天津市重点建设专业，物联网工程技术、云计算技术与应用、智能控制技术、工业机器人技术专业是院级特色建设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学院具有博士、硕士学位教师占专任教师总数的</w:t>
      </w:r>
      <w:r>
        <w:rPr>
          <w:rFonts w:ascii="Times New Roman" w:eastAsia="Times New Roman" w:hAnsi="Times New Roman" w:cs="Times New Roman"/>
        </w:rPr>
        <w:t>50.3%</w:t>
      </w:r>
      <w:r>
        <w:rPr>
          <w:rFonts w:ascii="SimSun" w:eastAsia="SimSun" w:hAnsi="SimSun" w:cs="SimSun"/>
        </w:rPr>
        <w:t>，具有高级以上专业技术职务的教师占专任教师总数的</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教师占专任教师总数的</w:t>
      </w:r>
      <w:r>
        <w:rPr>
          <w:rFonts w:ascii="Times New Roman" w:eastAsia="Times New Roman" w:hAnsi="Times New Roman" w:cs="Times New Roman"/>
        </w:rPr>
        <w:t>66.2%</w:t>
      </w:r>
      <w:r>
        <w:rPr>
          <w:rFonts w:ascii="SimSun" w:eastAsia="SimSun" w:hAnsi="SimSun" w:cs="SimSun"/>
        </w:rPr>
        <w:t>；教师承担各级科研立项课题达</w:t>
      </w:r>
      <w:r>
        <w:rPr>
          <w:rFonts w:ascii="Times New Roman" w:eastAsia="Times New Roman" w:hAnsi="Times New Roman" w:cs="Times New Roman"/>
        </w:rPr>
        <w:t>160</w:t>
      </w:r>
      <w:r>
        <w:rPr>
          <w:rFonts w:ascii="SimSun" w:eastAsia="SimSun" w:hAnsi="SimSun" w:cs="SimSun"/>
        </w:rPr>
        <w:t>余项，发表学术论文近</w:t>
      </w:r>
      <w:r>
        <w:rPr>
          <w:rFonts w:ascii="Times New Roman" w:eastAsia="Times New Roman" w:hAnsi="Times New Roman" w:cs="Times New Roman"/>
        </w:rPr>
        <w:t>770</w:t>
      </w:r>
      <w:r>
        <w:rPr>
          <w:rFonts w:ascii="SimSun" w:eastAsia="SimSun" w:hAnsi="SimSun" w:cs="SimSun"/>
        </w:rPr>
        <w:t>余篇，获得国家实用新型专利</w:t>
      </w:r>
      <w:r>
        <w:rPr>
          <w:rFonts w:ascii="Times New Roman" w:eastAsia="Times New Roman" w:hAnsi="Times New Roman" w:cs="Times New Roman"/>
        </w:rPr>
        <w:t>50</w:t>
      </w:r>
      <w:r>
        <w:rPr>
          <w:rFonts w:ascii="SimSun" w:eastAsia="SimSun" w:hAnsi="SimSun" w:cs="SimSun"/>
        </w:rPr>
        <w:t>余项。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学院拥有智能制造实训中心、智慧城市实训室、网络攻防与测评实训室、水环境监测与治理实训室、数控加工实训中心等共</w:t>
      </w:r>
      <w:r>
        <w:rPr>
          <w:rFonts w:ascii="Times New Roman" w:eastAsia="Times New Roman" w:hAnsi="Times New Roman" w:cs="Times New Roman"/>
        </w:rPr>
        <w:t xml:space="preserve"> 96</w:t>
      </w:r>
      <w:r>
        <w:rPr>
          <w:rFonts w:ascii="SimSun" w:eastAsia="SimSun" w:hAnsi="SimSun" w:cs="SimSun"/>
        </w:rPr>
        <w:t>个专业实训室。实训室建设适应现代智能制造产业转型、升级，突出生产性教学与先进企业生产技术的衔接，实训设备、开设的实训项目与智能制造、大数据等高端技术产业集群相对接，有效提升了人才培养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学院积极响应</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倡议，搭建与世界对话、交流的桥梁。</w:t>
      </w:r>
      <w:r>
        <w:rPr>
          <w:rFonts w:ascii="Times New Roman" w:eastAsia="Times New Roman" w:hAnsi="Times New Roman" w:cs="Times New Roman"/>
        </w:rPr>
        <w:t>2019</w:t>
      </w:r>
      <w:r>
        <w:rPr>
          <w:rFonts w:ascii="SimSun" w:eastAsia="SimSun" w:hAnsi="SimSun" w:cs="SimSun"/>
        </w:rPr>
        <w:t>年学院与埃尔贡乌干达技术学院签订合作意向书；与乌干达中资企业天唐集团签署建设</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合作意向。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学院注重学生综合职业素质和实践技能培养，连续两年成功举办全国及天津市职业院校技能大赛。</w:t>
      </w:r>
      <w:r>
        <w:rPr>
          <w:rFonts w:ascii="Times New Roman" w:eastAsia="Times New Roman" w:hAnsi="Times New Roman" w:cs="Times New Roman"/>
        </w:rPr>
        <w:t xml:space="preserve">2019 </w:t>
      </w:r>
      <w:r>
        <w:rPr>
          <w:rFonts w:ascii="SimSun" w:eastAsia="SimSun" w:hAnsi="SimSun" w:cs="SimSun"/>
        </w:rPr>
        <w:t>年天津市高职高专院校职业技能大赛中我院共有</w:t>
      </w:r>
      <w:r>
        <w:rPr>
          <w:rFonts w:ascii="Times New Roman" w:eastAsia="Times New Roman" w:hAnsi="Times New Roman" w:cs="Times New Roman"/>
        </w:rPr>
        <w:t>42</w:t>
      </w:r>
      <w:r>
        <w:rPr>
          <w:rFonts w:ascii="SimSun" w:eastAsia="SimSun" w:hAnsi="SimSun" w:cs="SimSun"/>
        </w:rPr>
        <w:t>名同学分获一、二、三等奖，其中</w:t>
      </w:r>
      <w:r>
        <w:rPr>
          <w:rFonts w:ascii="Times New Roman" w:eastAsia="Times New Roman" w:hAnsi="Times New Roman" w:cs="Times New Roman"/>
        </w:rPr>
        <w:t>17</w:t>
      </w:r>
      <w:r>
        <w:rPr>
          <w:rFonts w:ascii="SimSun" w:eastAsia="SimSun" w:hAnsi="SimSun" w:cs="SimSun"/>
        </w:rPr>
        <w:t>名学生在天津市高职高专院校技能大赛中成绩优异免试升入本科院校继续深造。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学院毕业生技术技能强、综合素质高，深受用人单位青睐。近三年，学院平均就业率</w:t>
      </w:r>
      <w:r>
        <w:rPr>
          <w:rFonts w:ascii="Times New Roman" w:eastAsia="Times New Roman" w:hAnsi="Times New Roman" w:cs="Times New Roman"/>
        </w:rPr>
        <w:t>98%</w:t>
      </w:r>
      <w:r>
        <w:rPr>
          <w:rFonts w:ascii="SimSun" w:eastAsia="SimSun" w:hAnsi="SimSun" w:cs="SimSun"/>
        </w:rPr>
        <w:t>以上，企业满意度达</w:t>
      </w:r>
      <w:r>
        <w:rPr>
          <w:rFonts w:ascii="Times New Roman" w:eastAsia="Times New Roman" w:hAnsi="Times New Roman" w:cs="Times New Roman"/>
        </w:rPr>
        <w:t>100%</w:t>
      </w:r>
      <w:r>
        <w:rPr>
          <w:rFonts w:ascii="SimSun" w:eastAsia="SimSun" w:hAnsi="SimSun" w:cs="SimSun"/>
        </w:rPr>
        <w:t>。学院与青岛海尔集团、长城汽车股份有限公司、中天钢铁集团、天地伟业科技有限公司、天津长荣科技集团股份有限公司、天津力神电池股份有限公司、天津爱旭太阳能科技有限公司等众多知名企业建立了稳定的就业合作关系。一对一的为毕业生提供充足就业选择，确保毕业生优质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博学、精技、创新、务实</w:t>
      </w:r>
      <w:r>
        <w:rPr>
          <w:rFonts w:ascii="Times New Roman" w:eastAsia="Times New Roman" w:hAnsi="Times New Roman" w:cs="Times New Roman"/>
        </w:rPr>
        <w:t>”</w:t>
      </w:r>
      <w:r>
        <w:rPr>
          <w:rFonts w:ascii="SimSun" w:eastAsia="SimSun" w:hAnsi="SimSun" w:cs="SimSun"/>
        </w:rPr>
        <w:t>的校训，形成</w:t>
      </w:r>
      <w:r>
        <w:rPr>
          <w:rFonts w:ascii="Times New Roman" w:eastAsia="Times New Roman" w:hAnsi="Times New Roman" w:cs="Times New Roman"/>
        </w:rPr>
        <w:t>“</w:t>
      </w:r>
      <w:r>
        <w:rPr>
          <w:rFonts w:ascii="SimSun" w:eastAsia="SimSun" w:hAnsi="SimSun" w:cs="SimSun"/>
        </w:rPr>
        <w:t>崇德尚技、严谨勤奋、精益求精</w:t>
      </w:r>
      <w:r>
        <w:rPr>
          <w:rFonts w:ascii="Times New Roman" w:eastAsia="Times New Roman" w:hAnsi="Times New Roman" w:cs="Times New Roman"/>
        </w:rPr>
        <w:t>”</w:t>
      </w:r>
      <w:r>
        <w:rPr>
          <w:rFonts w:ascii="SimSun" w:eastAsia="SimSun" w:hAnsi="SimSun" w:cs="SimSun"/>
        </w:rPr>
        <w:t>的校园文化精神，引领学生求德、悟德、崇德，学技、用技、尚技，做到德能兼备，知行合一，敬业、乐业，做社会主义合格建设者和可靠接班人。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天津工业职业学院设招生领导小组，全面负责学院招生工作，制定招生政策和招生计划，讨论、决定招生工作重大事宜。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天津工业职业学院设招生办公室，是组织和实施招生及其相关工作的常设机构，负责招生日常工作。学院纪检办对整体的招生过程实施全程监督，严格执行招生工作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三十不得</w:t>
      </w:r>
      <w:r>
        <w:rPr>
          <w:rFonts w:ascii="Times New Roman" w:eastAsia="Times New Roman" w:hAnsi="Times New Roman" w:cs="Times New Roman"/>
        </w:rPr>
        <w:t>”</w:t>
      </w:r>
      <w:r>
        <w:rPr>
          <w:rFonts w:ascii="SimSun" w:eastAsia="SimSun" w:hAnsi="SimSun" w:cs="SimSun"/>
        </w:rPr>
        <w:t>的规则，负责监督招生的每一个环节，确保我院招生工作公开、公平、公正。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天津工业职业学院根据发展规划、办学条件、专业发展、生源状况和社会需求，制定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并按照教育部核准下达的具体招生专业、招生人数，由各省、自治区、直辖市招生委员会向社会公布；同时还将通过招生简章与学院网站等形式向社会公布。在招生录取过程中，经招生领导小组同意，并报上级主管部门批准，对生源好、志愿足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Cambria Math" w:eastAsia="Cambria Math" w:hAnsi="Cambria Math" w:cs="Cambria Math"/>
        </w:rPr>
        <w:t>①</w:t>
      </w:r>
      <w:r>
        <w:rPr>
          <w:rFonts w:ascii="SimSun" w:eastAsia="SimSun" w:hAnsi="SimSun" w:cs="SimSun"/>
        </w:rPr>
        <w:t>学费标准：高职类一般专业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生、年。各专业收费标准详见省、自治区、直辖市招生办公室公布的招生计划表或学院下发的</w:t>
      </w:r>
      <w:r>
        <w:rPr>
          <w:rFonts w:ascii="Times New Roman" w:eastAsia="Times New Roman" w:hAnsi="Times New Roman" w:cs="Times New Roman"/>
        </w:rPr>
        <w:t>2020</w:t>
      </w:r>
      <w:r>
        <w:rPr>
          <w:rFonts w:ascii="SimSun" w:eastAsia="SimSun" w:hAnsi="SimSun" w:cs="SimSun"/>
        </w:rPr>
        <w:t>年新生报到须知。</w:t>
      </w:r>
      <w:r>
        <w:rPr>
          <w:rFonts w:ascii="Cambria Math" w:eastAsia="Cambria Math" w:hAnsi="Cambria Math" w:cs="Cambria Math"/>
        </w:rPr>
        <w:t>②</w:t>
      </w:r>
      <w:r>
        <w:rPr>
          <w:rFonts w:ascii="SimSun" w:eastAsia="SimSun" w:hAnsi="SimSun" w:cs="SimSun"/>
        </w:rPr>
        <w:t>住宿费标准：根据不同的住宿条件，住宿费为</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生、年。以上收费标准如有调整，最终价格以主管部门批准的文件执行。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工业职业学院录取工作遵循公平竞争、公开选拔的原则。执行国家教育部和各省、自治区、直辖市招生委员会制定的录取政策以及本章程公布的有关规定，以考生填报的志愿和高考文化课成绩为主要录取依据，根据考生志愿，参考考生的高中学业水平考试成绩和综合素质评价结果，德智体美劳全面考核、综合评价、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实行顺序志愿省份，录取以志愿优先为原则，即按考生填报的院校志愿顺序，从高分到低分录取第一志愿报考天津工业职业学院的考生，只有当各省、自治区、直辖市公布的同批次最低控制线上第一志愿报考天津工业职业学院的人数少于招生计划时，才录取第二志愿报考我院的考生，依次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到最后一个专业志愿。在考生所报专业志愿均未被录取情况下，对服从专业调剂者，可调到未录满专业；对不服从调剂者，作退档处理。专业志愿不设分数级差。内蒙古自治区按照该区实行动态排名精确定位填报志愿的办法，在录取中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在实行高考综合改革试点的浙江、天津、山东等省（区、市）的招生录取工作，按照各省公布的改革方案及有关办法执行。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浙江、天津、山东等高考改革试点省（区、市）考生须满足我院选考科目要求。投档成绩相同时，按各省（区、市）确定的同分排序规则进行专业录取，综合素质档案的使用办法按各省（区、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在甘肃省对口升学招生中，录取总分相同时，依次比较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对政策加分考生的录取，按照教育部《关于进一步减少和规范高考加分项目和分值的意见》的要求，实行属地化管理的原则，执行考生所在省、自治区、直辖市招生委员会制定的加分政策和录取规定。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各专业录取均无男女生比例要求。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各专业公共外语课程均为英语，其他语种考生慎报。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录取工作结束后，我院将以特快专递的方式寄发录取通知书。同时，考生可通过我院校园网、咨询电话查询录取结果。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的，应当向学院请假，未请假或请假逾期的，除因不可抗力等正当事由以外，视为放弃入学资格。学院在报到时对新生入学资格进行初步审查，审查合格的办理入学手续，予以注册学籍；复查中发现学生存在弄虚作假、徇私舞弊等情形的，确定为复查不合格，应当取消学籍。应征入伍的新生按国家政策，在学校规定时间内办理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新生入学后，学院依据《天津工业职业学院学生管理细则》、《天津工业职业学院学籍管理规定》等规章制度进行管理，按人才培养方案对学生进行培养。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凡报考黑色冶金技术（钢铁冶炼技术）、电气自动化技术（电气工程技术）、机械制造与自动化（机械制造工艺及设备）</w:t>
      </w:r>
      <w:r>
        <w:rPr>
          <w:rFonts w:ascii="Times New Roman" w:eastAsia="Times New Roman" w:hAnsi="Times New Roman" w:cs="Times New Roman"/>
        </w:rPr>
        <w:t>3</w:t>
      </w:r>
      <w:r>
        <w:rPr>
          <w:rFonts w:ascii="SimSun" w:eastAsia="SimSun" w:hAnsi="SimSun" w:cs="SimSun"/>
        </w:rPr>
        <w:t>个专业的考生，录取后到河北省邯郸市涉县天铁集团分校区就读。其余专业均在天津市校本部就读。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我院实行双证书培养，学生完成规定学业，且成绩合格者颁发国家承认的学历证书和职业资格证书。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我院设立了国家奖学金、国家励志奖学金、国家助学金、天津市政府奖学金、学院奖学金、生源地信用助学贷款、国家助学贷款、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和勤工俭学等多种方式的奖助贷体系，鼓励品学兼优的优秀生，帮助经济困难的贫困生。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学生完成规定学业经审查达到毕业标准的颁发天津工业职业学院全日制普通高等学校专科毕业证书。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年天津工业职业学院高职招生工作。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本章程经天津工业职业学院高职招生领导小组审查通过，报上级主管部门审核。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本章程自公布起开始执行。凡以前与学院有关高职招生工作的政策、规定与本章程不一致的，一律废止，均以本章程规定为准。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在招生咨询过程中天津工业职业学院咨询人员的意见、建议仅作为考生填报志愿的参考，不属学院录取承诺。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本章程由天津工业职业学院招生办公室负责解释。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学院招生工作接受社会监督，学院纪检电话为</w:t>
      </w:r>
      <w:r>
        <w:rPr>
          <w:rFonts w:ascii="Times New Roman" w:eastAsia="Times New Roman" w:hAnsi="Times New Roman" w:cs="Times New Roman"/>
        </w:rPr>
        <w:t>022-26983768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022-26983723</w:t>
      </w:r>
      <w:r>
        <w:rPr>
          <w:rFonts w:ascii="SimSun" w:eastAsia="SimSun" w:hAnsi="SimSun" w:cs="SimSun"/>
        </w:rPr>
        <w:t>、</w:t>
      </w:r>
      <w:r>
        <w:rPr>
          <w:rFonts w:ascii="Times New Roman" w:eastAsia="Times New Roman" w:hAnsi="Times New Roman" w:cs="Times New Roman"/>
        </w:rPr>
        <w:t>26983773</w:t>
      </w:r>
      <w:r>
        <w:rPr>
          <w:rFonts w:ascii="SimSun" w:eastAsia="SimSun" w:hAnsi="SimSun" w:cs="SimSun"/>
        </w:rPr>
        <w:t>（校本部）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0310-3885157</w:t>
      </w:r>
      <w:r>
        <w:rPr>
          <w:rFonts w:ascii="SimSun" w:eastAsia="SimSun" w:hAnsi="SimSun" w:cs="SimSun"/>
        </w:rPr>
        <w:t>（天铁校区）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http://www.pctj.edu.cn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1821427968</w:t>
      </w:r>
      <w:r>
        <w:rPr>
          <w:rFonts w:ascii="SimSun" w:eastAsia="SimSun" w:hAnsi="SimSun" w:cs="SimSun"/>
        </w:rPr>
        <w:t>、</w:t>
      </w:r>
      <w:r>
        <w:rPr>
          <w:rFonts w:ascii="Times New Roman" w:eastAsia="Times New Roman" w:hAnsi="Times New Roman" w:cs="Times New Roman"/>
        </w:rPr>
        <w:t>2032453787</w:t>
      </w:r>
      <w:r>
        <w:rPr>
          <w:rFonts w:ascii="SimSun" w:eastAsia="SimSun" w:hAnsi="SimSun" w:cs="SimSun"/>
        </w:rPr>
        <w:t>（天铁校区）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学院地址：天津市北辰区京津快速路</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天铁校区地址：河北省邯郸市涉县天铁集团</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056404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天津石油职业技术学院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南开大学滨海学院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0.html" TargetMode="External" /><Relationship Id="rId5" Type="http://schemas.openxmlformats.org/officeDocument/2006/relationships/hyperlink" Target="http://www.gk114.com/a/gxzs/zszc/tianjin/2020/0621/1689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