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天津工艺美术职业学院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根据《中华人民共和国教育法》、《中华人民共和国高等教育法》等相关法律法规，为了维护学校和考生的合法权益，依法招生。结合天津工艺美术职业学院招生工作实际，制定本章程。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本章程是社会了解天津工艺美术职业学院有关招生政策、规定及相关信息的主要渠道，是天津工艺美术职业学院开展招生咨询和录取工作的主要依据。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一、学校名称：天津工艺美术职业学院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13911                 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五、学校地址：主校区：天津市河北区红星路革新道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分校区：天津市河北区建昌道</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艺美术职业学院是经天津市政府批准、国家教育部备案的公办艺术类美术高职学院。学院具有坚实的办学基础和雄厚的师资力量，形成独特艺术设计教育的办学格局。学院拥有一支稳定的教师队伍，教授、副教授、讲师等高中级职称人数占教师总人数的</w:t>
      </w:r>
      <w:r>
        <w:rPr>
          <w:rFonts w:ascii="Times New Roman" w:eastAsia="Times New Roman" w:hAnsi="Times New Roman" w:cs="Times New Roman"/>
        </w:rPr>
        <w:t>80</w:t>
      </w:r>
      <w:r>
        <w:rPr>
          <w:rFonts w:ascii="SimSun" w:eastAsia="SimSun" w:hAnsi="SimSun" w:cs="SimSun"/>
        </w:rPr>
        <w:t>％。学院占地约</w:t>
      </w:r>
      <w:r>
        <w:rPr>
          <w:rFonts w:ascii="Times New Roman" w:eastAsia="Times New Roman" w:hAnsi="Times New Roman" w:cs="Times New Roman"/>
        </w:rPr>
        <w:t>110</w:t>
      </w:r>
      <w:r>
        <w:rPr>
          <w:rFonts w:ascii="SimSun" w:eastAsia="SimSun" w:hAnsi="SimSun" w:cs="SimSun"/>
        </w:rPr>
        <w:t>亩，</w:t>
      </w:r>
      <w:r>
        <w:rPr>
          <w:rFonts w:ascii="Times New Roman" w:eastAsia="Times New Roman" w:hAnsi="Times New Roman" w:cs="Times New Roman"/>
        </w:rPr>
        <w:t xml:space="preserve"> </w:t>
      </w:r>
      <w:r>
        <w:rPr>
          <w:rFonts w:ascii="SimSun" w:eastAsia="SimSun" w:hAnsi="SimSun" w:cs="SimSun"/>
        </w:rPr>
        <w:t>图书馆藏书</w:t>
      </w:r>
      <w:r>
        <w:rPr>
          <w:rFonts w:ascii="Times New Roman" w:eastAsia="Times New Roman" w:hAnsi="Times New Roman" w:cs="Times New Roman"/>
        </w:rPr>
        <w:t>12</w:t>
      </w:r>
      <w:r>
        <w:rPr>
          <w:rFonts w:ascii="SimSun" w:eastAsia="SimSun" w:hAnsi="SimSun" w:cs="SimSun"/>
        </w:rPr>
        <w:t>万余册，已成为培养现代工艺美术设计家的摇篮。学院面向本市和全国招生，为社会各界输送大量具有较高专业艺术素质和专科层次的高素质技术技能型艺术设计人才。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所设专业包括：建筑室内设计、视觉传播设计与制作、广告设计与制作、产品艺术设计、服装与服饰设计、展示艺术设计、环境艺术设计（装饰艺术）、环境艺术设计（景观设计）、人物形象设计、美术（绘画）、影视多媒体技术、影视动画、包装艺术设计、游戏设计、工艺美术品设计等专业；为学生就业拓展更大空间，学院毕业生具有较强的就业优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工艺美术职业学院设普通高职招生委员会（此后简称招生委员会），全面负责学院招生工作，制定招生政策、招生计划，决定有关招生的重大事宜。为确保招生工作顺利进行，完善监督检查制度，成立招生监督委员会，加强内部自我约束机制，自觉接受监察部门和社会舆论的监督。院长办公室执行招生纪检监察职责，监督电话：</w:t>
      </w:r>
      <w:r>
        <w:rPr>
          <w:rFonts w:ascii="Times New Roman" w:eastAsia="Times New Roman" w:hAnsi="Times New Roman" w:cs="Times New Roman"/>
        </w:rPr>
        <w:t>022-26786331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天津工艺美术职业学院设普通高职招生办公室（此后简称招生办公室），是组织和实施招生工作的常设机构，负责招生的日常工作。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天津工艺美术职业学院根据发展规划、办学条件、学科发展、生源状况，以符合社会需求为原则分配各专业招生计划，制定</w:t>
      </w:r>
      <w:r>
        <w:rPr>
          <w:rFonts w:ascii="Times New Roman" w:eastAsia="Times New Roman" w:hAnsi="Times New Roman" w:cs="Times New Roman"/>
        </w:rPr>
        <w:t>2019</w:t>
      </w:r>
      <w:r>
        <w:rPr>
          <w:rFonts w:ascii="SimSun" w:eastAsia="SimSun" w:hAnsi="SimSun" w:cs="SimSun"/>
        </w:rPr>
        <w:t>年面向全国各省、自治区、直辖市的分专业招生计划。按照教育部核准下达的具体招生专业、招生人数，在规定时间内寄送到各省、自治区、直辖市招生委员会，面向社会公布；同时还将通过其它方式向社会公布。分省分专业招生规模以有关省级招办公布的招生计划为准。在招生录取过程中，经院招生委员会同意，并报上级主管部门批准，对生源好、志愿足，录取分数高的省、自治区、直辖市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学费标准：高职艺术类专业学费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6-8</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年。各专业收费标准详见省、自治区、直辖市招生办公室公布的招生计划表或学校下发的</w:t>
      </w:r>
      <w:r>
        <w:rPr>
          <w:rFonts w:ascii="Times New Roman" w:eastAsia="Times New Roman" w:hAnsi="Times New Roman" w:cs="Times New Roman"/>
        </w:rPr>
        <w:t>2019</w:t>
      </w:r>
      <w:r>
        <w:rPr>
          <w:rFonts w:ascii="SimSun" w:eastAsia="SimSun" w:hAnsi="SimSun" w:cs="SimSun"/>
        </w:rPr>
        <w:t>年新生报到须知。以上收费标准如有调整，以最终价格主管部门批准的文件执行。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遵循公平竞争、公正选拔、公开程序的原则，执行国家教育部和各省、自治区、直辖市招生委员会制定的录取政策以及本章程公布的有关规定，以考生填报的志愿和高考文化成绩及专业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录取以志愿优先为原则，即按考生填报的院校志愿顺序，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如出现同分考生，则优先录取专业课成绩较高者，如专业课成绩仍相同，则依次按照语文、数学、外语的成绩，从高分到低分顺序录取。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原则。如有艺术类考生实行平行志愿的省份，录取以生源所在地省级招生主管部门规定的录取原则为准。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采取以考生填报的专业志愿顺序优先为原则，首先参照考生填报的专业志愿顺序，然后以分数优先即先按高分到低分排队，依次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的考生（如考生省份有相关规定，执行该省份要求）。江苏省考生如投档分数相同，优先录取学业水平测试选测科目等级排序较高者。天津市考生执行本章程第十三条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依照教育部、卫生部、中国残疾人联合会颁布的《普通高等学校招生体检工作指导意见》对考生身体健康状况进行审查和复查。对不符合标准者，按指导意见的相关规定处理。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学院各招生专业公共外语为英语，其他小语种考生慎报。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学院录取艺术（美术）类专业考生，根据各省、自治区、直辖市招生主管部门要求，考生高考文化成绩须达到所在省、自治区、直辖市高考艺术类专业专科控制线，专业联考或统考成绩合格。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天津工艺美术职业学院在接到各省、自治区、直辖市招办核准备案的录取考生名单后寄发录取通知书，录取通知书以特快专递的方式寄出。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新生入学后，学校依据《天津工艺美术职业学院学生管理细则》、《天津工艺美术职业学院学籍管理规定》等规章制度进行管理；按人才培养方案对学生进行培养。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艺术类专业学费较高，入学后仍有大量材料费用投入，请考生、家长依据自身条件酌定报考。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学院依据国家有关规定，设立奖学金、国家助学贷款，符合条件的学生可以按规定申请。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学生完成规定学业，经审查达到毕业标准的颁发天津工艺美术职业学院全日制普通高等学校专科毕业证书。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年天津工艺美术职业学院普通高职招生工作。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本章程经天津工艺美术职业学院普通高职招生委员会审查通过，报上级主管部门审核。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本章程自公布起开始执行。凡以前天津工艺美术职业学院有关高职招生工作的政策、规定与本章程不一致的，一律废止，均以本章程规定为准。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在招生咨询过程中，天津工艺美术职业学院咨询人员的意见、建议仅作为考生填报志愿的参考，不属学院录取承诺。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本章程由天津工艺美术职业学院招生办公室负责解释。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http://www.gmtj.com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E-mail:tjgyms@126.com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022—26786329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022—26773252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022—26786331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300250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址：天津市河北区红星路革新道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天津理工大学中环信息学院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天津生物工程职业技术学院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3.html" TargetMode="External" /><Relationship Id="rId5" Type="http://schemas.openxmlformats.org/officeDocument/2006/relationships/hyperlink" Target="http://www.gk114.com/a/gxzs/zszc/tianjin/2019/0610/962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