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天津现代职业技术学院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根据《中华人民共和国教育法》、《中华人民共和国高等教育法》等相关法律法规的有关规定，为维护学校和考生的合法权益，依法招生，结合天津现代职业技术学院招生工作实际，制定本章程。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本章程是社会了解我院有关招生政策、规定及相关信息的主要渠道，是我院开展招生咨询和录取工作的主要依据。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w:t>
      </w:r>
      <w:r>
        <w:rPr>
          <w:rFonts w:ascii="Times New Roman" w:eastAsia="Times New Roman" w:hAnsi="Times New Roman" w:cs="Times New Roman"/>
        </w:rPr>
        <w:t xml:space="preserve">: </w:t>
      </w:r>
      <w:r>
        <w:rPr>
          <w:rFonts w:ascii="SimSun" w:eastAsia="SimSun" w:hAnsi="SimSun" w:cs="SimSun"/>
        </w:rPr>
        <w:t>天津现代职业技术学院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12722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五、学校地址：天津海河教育园雅观路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现代职业技术学院是一所经天津市人民政府批准、国家教育部备案，集应用文科、应用工科及艺术类专业于一体的公办全日制高等职业技术学院。国家示范性骨干高职院，全国首批现代学徒制试点院校，滨海新区技能型紧缺人才培养基地，军民融合发展</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规划重点依托院校，首批进入天津海河教育园。国家高等职业教育</w:t>
      </w:r>
      <w:r>
        <w:rPr>
          <w:rFonts w:ascii="Times New Roman" w:eastAsia="Times New Roman" w:hAnsi="Times New Roman" w:cs="Times New Roman"/>
        </w:rPr>
        <w:t>“</w:t>
      </w:r>
      <w:r>
        <w:rPr>
          <w:rFonts w:ascii="SimSun" w:eastAsia="SimSun" w:hAnsi="SimSun" w:cs="SimSun"/>
        </w:rPr>
        <w:t>生物技术及应用专业教学资源库</w:t>
      </w:r>
      <w:r>
        <w:rPr>
          <w:rFonts w:ascii="Times New Roman" w:eastAsia="Times New Roman" w:hAnsi="Times New Roman" w:cs="Times New Roman"/>
        </w:rPr>
        <w:t>”</w:t>
      </w:r>
      <w:r>
        <w:rPr>
          <w:rFonts w:ascii="SimSun" w:eastAsia="SimSun" w:hAnsi="SimSun" w:cs="SimSun"/>
        </w:rPr>
        <w:t>建设主持单位，高等职业学校骨干教师国家级培训项目单位，第四届</w:t>
      </w:r>
      <w:r>
        <w:rPr>
          <w:rFonts w:ascii="Times New Roman" w:eastAsia="Times New Roman" w:hAnsi="Times New Roman" w:cs="Times New Roman"/>
        </w:rPr>
        <w:t>“</w:t>
      </w:r>
      <w:r>
        <w:rPr>
          <w:rFonts w:ascii="SimSun" w:eastAsia="SimSun" w:hAnsi="SimSun" w:cs="SimSun"/>
        </w:rPr>
        <w:t>黄炎培职业教育优秀学校奖</w:t>
      </w:r>
      <w:r>
        <w:rPr>
          <w:rFonts w:ascii="Times New Roman" w:eastAsia="Times New Roman" w:hAnsi="Times New Roman" w:cs="Times New Roman"/>
        </w:rPr>
        <w:t>”</w:t>
      </w:r>
      <w:r>
        <w:rPr>
          <w:rFonts w:ascii="SimSun" w:eastAsia="SimSun" w:hAnsi="SimSun" w:cs="SimSun"/>
        </w:rPr>
        <w:t>获奖院校。连续三届获得国家级教学成果奖共计三项，连续十年承办全国职业院校技能大赛，获得相关赛项</w:t>
      </w:r>
      <w:r>
        <w:rPr>
          <w:rFonts w:ascii="Times New Roman" w:eastAsia="Times New Roman" w:hAnsi="Times New Roman" w:cs="Times New Roman"/>
        </w:rPr>
        <w:t>16</w:t>
      </w:r>
      <w:r>
        <w:rPr>
          <w:rFonts w:ascii="SimSun" w:eastAsia="SimSun" w:hAnsi="SimSun" w:cs="SimSun"/>
        </w:rPr>
        <w:t>个一等奖，</w:t>
      </w:r>
      <w:r>
        <w:rPr>
          <w:rFonts w:ascii="Times New Roman" w:eastAsia="Times New Roman" w:hAnsi="Times New Roman" w:cs="Times New Roman"/>
        </w:rPr>
        <w:t>6</w:t>
      </w:r>
      <w:r>
        <w:rPr>
          <w:rFonts w:ascii="SimSun" w:eastAsia="SimSun" w:hAnsi="SimSun" w:cs="SimSun"/>
        </w:rPr>
        <w:t>个二等奖，</w:t>
      </w:r>
      <w:r>
        <w:rPr>
          <w:rFonts w:ascii="Times New Roman" w:eastAsia="Times New Roman" w:hAnsi="Times New Roman" w:cs="Times New Roman"/>
        </w:rPr>
        <w:t>8</w:t>
      </w:r>
      <w:r>
        <w:rPr>
          <w:rFonts w:ascii="SimSun" w:eastAsia="SimSun" w:hAnsi="SimSun" w:cs="SimSun"/>
        </w:rPr>
        <w:t>个三等奖。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w:t>
      </w:r>
      <w:r>
        <w:rPr>
          <w:rFonts w:ascii="Times New Roman" w:eastAsia="Times New Roman" w:hAnsi="Times New Roman" w:cs="Times New Roman"/>
        </w:rPr>
        <w:t xml:space="preserve">, </w:t>
      </w:r>
      <w:r>
        <w:rPr>
          <w:rFonts w:ascii="SimSun" w:eastAsia="SimSun" w:hAnsi="SimSun" w:cs="SimSun"/>
        </w:rPr>
        <w:t>负责讨论有关招生工作的重大事宜，对学院招生工作进行决策咨询和监督。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学院成立招生工作领导小组</w:t>
      </w:r>
      <w:r>
        <w:rPr>
          <w:rFonts w:ascii="Times New Roman" w:eastAsia="Times New Roman" w:hAnsi="Times New Roman" w:cs="Times New Roman"/>
        </w:rPr>
        <w:t>,</w:t>
      </w:r>
      <w:r>
        <w:rPr>
          <w:rFonts w:ascii="SimSun" w:eastAsia="SimSun" w:hAnsi="SimSun" w:cs="SimSun"/>
        </w:rPr>
        <w:t>统一领导学院招生工作。领导小组下设招生办公室，负责招生的日常工作。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学校招生工作严格执行教育部的各项规定，并接受社会监督。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面向全国各省、自治区、直辖市的分专业招生计划，并按照教育部核准下达的具体招生专业、招生人数，在规定时间内报送至各省、自治区、直辖市招生委员会，向社会公布；同时学校也通过不同渠道向社会公布。在招生录取过程中，经学院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高职学费标准：一般专业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年。住宿费标准：新生住宿费标准为</w:t>
      </w:r>
      <w:r>
        <w:rPr>
          <w:rFonts w:ascii="Times New Roman" w:eastAsia="Times New Roman" w:hAnsi="Times New Roman" w:cs="Times New Roman"/>
        </w:rPr>
        <w:t>6-8</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年。以上收费标准如有调整，以最终价格主管部门批准的文件执行。各专业收费标准详见各省、自治区、直辖市招生办公室公布的招生计划表或学校下发的</w:t>
      </w:r>
      <w:r>
        <w:rPr>
          <w:rFonts w:ascii="Times New Roman" w:eastAsia="Times New Roman" w:hAnsi="Times New Roman" w:cs="Times New Roman"/>
        </w:rPr>
        <w:t>2019</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招生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院的考生，只有当各省、自治区、直辖市公布的同批次最低控制线上第一志愿报考我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w:t>
      </w:r>
      <w:r>
        <w:rPr>
          <w:rFonts w:ascii="SimSun" w:eastAsia="SimSun" w:hAnsi="SimSun" w:cs="SimSun"/>
        </w:rPr>
        <w:t>。江苏考生如投档分数相同，优先录取学业水平测试选测科目等级排序较高者。浙江省专业录取实行专业平行志愿录取规则。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语文、外语、数学；理工类依次比较数学、外语、语文单科分数，较高者优先（如考生省份有相关规定，执行该省份要求）（天津考生参考第十七条）。江苏考生如投档分数相同，优先录取学业水平测试选测科目等级排序较高者。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在投档考生高考文化成绩过线的基础上，按照专业联考或统考成绩合格基础上从高分到低分顺序录取。如专业课成绩相同，则依次按照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我校在上海、浙江招生专业（类）对考试科目要求，综合素质档案的使用办法以两地教育招生考试部门及我校官方网站公示为准。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具体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如考生学业水平考试成绩和综合素质评价结果相同，可再依次参考学业水平单科考试成绩（如，文科考生可依次参考数学、物理、化学、生物的学业水平考试成绩；理科考生可依次参考语文、政治、历史、地理的学业水平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w:t>
      </w:r>
      <w:r>
        <w:rPr>
          <w:rFonts w:ascii="Times New Roman" w:eastAsia="Times New Roman" w:hAnsi="Times New Roman" w:cs="Times New Roman"/>
        </w:rPr>
        <w:t>"</w:t>
      </w:r>
      <w:r>
        <w:rPr>
          <w:rFonts w:ascii="SimSun" w:eastAsia="SimSun" w:hAnsi="SimSun" w:cs="SimSun"/>
        </w:rPr>
        <w:t>涉外旅游</w:t>
      </w:r>
      <w:r>
        <w:rPr>
          <w:rFonts w:ascii="Times New Roman" w:eastAsia="Times New Roman" w:hAnsi="Times New Roman" w:cs="Times New Roman"/>
        </w:rPr>
        <w:t>"</w:t>
      </w:r>
      <w:r>
        <w:rPr>
          <w:rFonts w:ascii="SimSun" w:eastAsia="SimSun" w:hAnsi="SimSun" w:cs="SimSun"/>
        </w:rPr>
        <w:t>专业考生的建议条件：身高男</w:t>
      </w:r>
      <w:r>
        <w:rPr>
          <w:rFonts w:ascii="Times New Roman" w:eastAsia="Times New Roman" w:hAnsi="Times New Roman" w:cs="Times New Roman"/>
        </w:rPr>
        <w:t>1.75</w:t>
      </w:r>
      <w:r>
        <w:rPr>
          <w:rFonts w:ascii="SimSun" w:eastAsia="SimSun" w:hAnsi="SimSun" w:cs="SimSun"/>
        </w:rPr>
        <w:t>米以上，女</w:t>
      </w:r>
      <w:r>
        <w:rPr>
          <w:rFonts w:ascii="Times New Roman" w:eastAsia="Times New Roman" w:hAnsi="Times New Roman" w:cs="Times New Roman"/>
        </w:rPr>
        <w:t>1.60</w:t>
      </w:r>
      <w:r>
        <w:rPr>
          <w:rFonts w:ascii="SimSun" w:eastAsia="SimSun" w:hAnsi="SimSun" w:cs="SimSun"/>
        </w:rPr>
        <w:t>米以上，五官端正，身体健康，身材匀称，口齿清楚，仪表大方，视力在</w:t>
      </w:r>
      <w:r>
        <w:rPr>
          <w:rFonts w:ascii="Times New Roman" w:eastAsia="Times New Roman" w:hAnsi="Times New Roman" w:cs="Times New Roman"/>
        </w:rPr>
        <w:t>4.7</w:t>
      </w:r>
      <w:r>
        <w:rPr>
          <w:rFonts w:ascii="SimSun" w:eastAsia="SimSun" w:hAnsi="SimSun" w:cs="SimSun"/>
        </w:rPr>
        <w:t>以上，肢体无残疾。报考</w:t>
      </w:r>
      <w:r>
        <w:rPr>
          <w:rFonts w:ascii="Times New Roman" w:eastAsia="Times New Roman" w:hAnsi="Times New Roman" w:cs="Times New Roman"/>
        </w:rPr>
        <w:t>“</w:t>
      </w:r>
      <w:r>
        <w:rPr>
          <w:rFonts w:ascii="SimSun" w:eastAsia="SimSun" w:hAnsi="SimSun" w:cs="SimSun"/>
        </w:rPr>
        <w:t>无人机应用技术</w:t>
      </w:r>
      <w:r>
        <w:rPr>
          <w:rFonts w:ascii="Times New Roman" w:eastAsia="Times New Roman" w:hAnsi="Times New Roman" w:cs="Times New Roman"/>
        </w:rPr>
        <w:t>”</w:t>
      </w:r>
      <w:r>
        <w:rPr>
          <w:rFonts w:ascii="SimSun" w:eastAsia="SimSun" w:hAnsi="SimSun" w:cs="SimSun"/>
        </w:rPr>
        <w:t>专业考生的的建议条件：身体健康，眼睛矫正视力达到</w:t>
      </w:r>
      <w:r>
        <w:rPr>
          <w:rFonts w:ascii="Times New Roman" w:eastAsia="Times New Roman" w:hAnsi="Times New Roman" w:cs="Times New Roman"/>
        </w:rPr>
        <w:t>1.0</w:t>
      </w:r>
      <w:r>
        <w:rPr>
          <w:rFonts w:ascii="SimSun" w:eastAsia="SimSun" w:hAnsi="SimSun" w:cs="SimSun"/>
        </w:rPr>
        <w:t>以上，无色弱、斜视，听力不低于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具体报到要求见</w:t>
      </w:r>
      <w:r>
        <w:rPr>
          <w:rFonts w:ascii="Times New Roman" w:eastAsia="Times New Roman" w:hAnsi="Times New Roman" w:cs="Times New Roman"/>
        </w:rPr>
        <w:t>2019</w:t>
      </w:r>
      <w:r>
        <w:rPr>
          <w:rFonts w:ascii="SimSun" w:eastAsia="SimSun" w:hAnsi="SimSun" w:cs="SimSun"/>
        </w:rPr>
        <w:t>年天津现代职业技术学院新生报到须知。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学校依据《天津现代职业技术学院学生管理细则》、《天津现代职业技术学院学籍管理规定》等规章制度进行管理；按教学计划对学生进行培养。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我院设有国家奖学金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人、天津市人民政府奖学金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人、国家助学金一等</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法德自律，诚信进取</w:t>
      </w:r>
      <w:r>
        <w:rPr>
          <w:rFonts w:ascii="Times New Roman" w:eastAsia="Times New Roman" w:hAnsi="Times New Roman" w:cs="Times New Roman"/>
        </w:rPr>
        <w:t>”</w:t>
      </w:r>
      <w:r>
        <w:rPr>
          <w:rFonts w:ascii="SimSun" w:eastAsia="SimSun" w:hAnsi="SimSun" w:cs="SimSun"/>
        </w:rPr>
        <w:t>标兵能手奖学金、校内勤工助学、学费减免、义务服兵役教育资助、协助学生办理生源地助学贷款等多种形式的资助项目，家庭经济困难学生覆盖面达</w:t>
      </w:r>
      <w:r>
        <w:rPr>
          <w:rFonts w:ascii="Times New Roman" w:eastAsia="Times New Roman" w:hAnsi="Times New Roman" w:cs="Times New Roman"/>
        </w:rPr>
        <w:t>100%</w:t>
      </w:r>
      <w:r>
        <w:rPr>
          <w:rFonts w:ascii="SimSun" w:eastAsia="SimSun" w:hAnsi="SimSun" w:cs="SimSun"/>
        </w:rPr>
        <w:t>，全体在校生覆盖面达</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学生完成规定学业经审查达到毕业标准的颁发天津现代职业技术学院全日制普通高等学校专科毕业证书。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根据天津市津政发（</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40</w:t>
      </w:r>
      <w:r>
        <w:rPr>
          <w:rFonts w:ascii="SimSun" w:eastAsia="SimSun" w:hAnsi="SimSun" w:cs="SimSun"/>
        </w:rPr>
        <w:t>号文件，凡在天津市高职院校有集体户口或入学时户籍未从原籍迁入学校的集体户口，毕业</w:t>
      </w:r>
      <w:r>
        <w:rPr>
          <w:rFonts w:ascii="Times New Roman" w:eastAsia="Times New Roman" w:hAnsi="Times New Roman" w:cs="Times New Roman"/>
        </w:rPr>
        <w:t>2</w:t>
      </w:r>
      <w:r>
        <w:rPr>
          <w:rFonts w:ascii="SimSun" w:eastAsia="SimSun" w:hAnsi="SimSun" w:cs="SimSun"/>
        </w:rPr>
        <w:t>年内与本市用人单位签订正式劳动（聘用）合同的毕业生，准予在津落户。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学生可自愿参加天津市统一的</w:t>
      </w:r>
      <w:r>
        <w:rPr>
          <w:rFonts w:ascii="Times New Roman" w:eastAsia="Times New Roman" w:hAnsi="Times New Roman" w:cs="Times New Roman"/>
        </w:rPr>
        <w:t>“</w:t>
      </w:r>
      <w:r>
        <w:rPr>
          <w:rFonts w:ascii="SimSun" w:eastAsia="SimSun" w:hAnsi="SimSun" w:cs="SimSun"/>
        </w:rPr>
        <w:t>高职升本</w:t>
      </w:r>
      <w:r>
        <w:rPr>
          <w:rFonts w:ascii="Times New Roman" w:eastAsia="Times New Roman" w:hAnsi="Times New Roman" w:cs="Times New Roman"/>
        </w:rPr>
        <w:t>”</w:t>
      </w:r>
      <w:r>
        <w:rPr>
          <w:rFonts w:ascii="SimSun" w:eastAsia="SimSun" w:hAnsi="SimSun" w:cs="SimSun"/>
        </w:rPr>
        <w:t>考试，考入全日制本科院校，继续深造。参加全国职业院校技能大赛获得规定奖项，保送升入本科。具体见当年教育部门文件。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年我院高职招生工作。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本章程经我院招生领导小组审查通过，报上级主管部门审核。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本章程自公布起开始执行。凡以前我院有关高职招生工作的政策、规定与本章程不一致的，一律废止，均以本章程规定为准。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本章程由我院招生办公室负责解释。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022-28193120</w:t>
      </w:r>
      <w:r>
        <w:rPr>
          <w:rFonts w:ascii="SimSun" w:eastAsia="SimSun" w:hAnsi="SimSun" w:cs="SimSun"/>
        </w:rPr>
        <w:t>、</w:t>
      </w:r>
      <w:r>
        <w:rPr>
          <w:rFonts w:ascii="Times New Roman" w:eastAsia="Times New Roman" w:hAnsi="Times New Roman" w:cs="Times New Roman"/>
        </w:rPr>
        <w:t>28172507</w:t>
      </w:r>
      <w:r>
        <w:rPr>
          <w:rFonts w:ascii="SimSun" w:eastAsia="SimSun" w:hAnsi="SimSun" w:cs="SimSun"/>
        </w:rPr>
        <w:t>、</w:t>
      </w:r>
      <w:r>
        <w:rPr>
          <w:rFonts w:ascii="Times New Roman" w:eastAsia="Times New Roman" w:hAnsi="Times New Roman" w:cs="Times New Roman"/>
        </w:rPr>
        <w:t xml:space="preserve">28172591    </w:t>
      </w:r>
      <w:r>
        <w:rPr>
          <w:rFonts w:ascii="SimSun" w:eastAsia="SimSun" w:hAnsi="SimSun" w:cs="SimSun"/>
        </w:rPr>
        <w:t>传真：</w:t>
      </w:r>
      <w:r>
        <w:rPr>
          <w:rFonts w:ascii="Times New Roman" w:eastAsia="Times New Roman" w:hAnsi="Times New Roman" w:cs="Times New Roman"/>
        </w:rPr>
        <w:t>022-28343733   </w:t>
      </w:r>
      <w:r>
        <w:rPr>
          <w:rFonts w:ascii="SimSun" w:eastAsia="SimSun" w:hAnsi="SimSun" w:cs="SimSun"/>
        </w:rPr>
        <w:t>纪检电话：</w:t>
      </w:r>
      <w:r>
        <w:rPr>
          <w:rFonts w:ascii="Times New Roman" w:eastAsia="Times New Roman" w:hAnsi="Times New Roman" w:cs="Times New Roman"/>
        </w:rPr>
        <w:t xml:space="preserve">022-28660580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http://www.xdxy.com.cn                 E-mail</w:t>
      </w:r>
      <w:r>
        <w:rPr>
          <w:rFonts w:ascii="SimSun" w:eastAsia="SimSun" w:hAnsi="SimSun" w:cs="SimSun"/>
        </w:rPr>
        <w:t>：</w:t>
      </w:r>
      <w:r>
        <w:rPr>
          <w:rFonts w:ascii="Times New Roman" w:eastAsia="Times New Roman" w:hAnsi="Times New Roman" w:cs="Times New Roman"/>
        </w:rPr>
        <w:t xml:space="preserve">tjxdxy@163.com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学院地址：天津海河教育园区雅观路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0.html" TargetMode="External" /><Relationship Id="rId5" Type="http://schemas.openxmlformats.org/officeDocument/2006/relationships/hyperlink" Target="http://www.gk114.com/a/gxzs/zszc/tianjin/2019/0610/964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