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天津理工大学中环信息学院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根据《中华人民共和国教育法》、《中华人民共和国高等教育法》等相关法律法规和教育部、天津市的有关规定，为了维护学院和考生的合法权益，依法招生，结合学院招生工作实际，制定本章程。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一、学院名称：天津理工大学中环信息学院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四、学院代码：</w:t>
      </w:r>
      <w:r>
        <w:rPr>
          <w:rFonts w:ascii="Times New Roman" w:eastAsia="Times New Roman" w:hAnsi="Times New Roman" w:cs="Times New Roman"/>
        </w:rPr>
        <w:t xml:space="preserve">13897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天津理工大学中环信息学院：天津市西青区杨柳青柳口路</w:t>
      </w:r>
      <w:r>
        <w:rPr>
          <w:rFonts w:ascii="Times New Roman" w:eastAsia="Times New Roman" w:hAnsi="Times New Roman" w:cs="Times New Roman"/>
        </w:rPr>
        <w:t>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天津理工大学中环信息学院海河园院区：天津海河教育园区文惠南路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天津理工大学中环信息学院是</w:t>
      </w:r>
      <w:r>
        <w:rPr>
          <w:rFonts w:ascii="Times New Roman" w:eastAsia="Times New Roman" w:hAnsi="Times New Roman" w:cs="Times New Roman"/>
        </w:rPr>
        <w:t>2005</w:t>
      </w:r>
      <w:r>
        <w:rPr>
          <w:rFonts w:ascii="SimSun" w:eastAsia="SimSun" w:hAnsi="SimSun" w:cs="SimSun"/>
        </w:rPr>
        <w:t>年经教育部批准设立，由天津理工大学和天津中环电子信息集团有限公司联合创办的全日制普通本科高等院校，坐落于全国十大魅力城镇的天津市西青区杨柳青古镇。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紧密依托天津理工大学优质教育教学资源和天津中环电子信息集团有限公司的雄厚实力，瞄准国家高等教育改革发展的方向，落实立德树人根本任务，深化内涵建设，实施转型发展战略、人才强校战略、校企合作战略、文化引领战略，培养高素质技术技能型人才，努力建设中环特色的应用技术型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学院设置了自动化工程、机械工程、电子信息工程、计算机工程、经济与管理</w:t>
      </w:r>
      <w:r>
        <w:rPr>
          <w:rFonts w:ascii="Times New Roman" w:eastAsia="Times New Roman" w:hAnsi="Times New Roman" w:cs="Times New Roman"/>
        </w:rPr>
        <w:t>5</w:t>
      </w:r>
      <w:r>
        <w:rPr>
          <w:rFonts w:ascii="SimSun" w:eastAsia="SimSun" w:hAnsi="SimSun" w:cs="SimSun"/>
        </w:rPr>
        <w:t>个系。开设自动化、电气工程及其自动化、电气工程与智能控制、机械设计制造及其自动化、机械电子工程、材料成型及控制工程、电子信息科学与技术、电子信息工程、通信工程、物联网工程、测控技术与仪器、计算机科学与技术、软件工程、网络工程、工程管理、工商管理、物流管理、财务管理、人力资源管理等</w:t>
      </w:r>
      <w:r>
        <w:rPr>
          <w:rFonts w:ascii="Times New Roman" w:eastAsia="Times New Roman" w:hAnsi="Times New Roman" w:cs="Times New Roman"/>
        </w:rPr>
        <w:t>22</w:t>
      </w:r>
      <w:r>
        <w:rPr>
          <w:rFonts w:ascii="SimSun" w:eastAsia="SimSun" w:hAnsi="SimSun" w:cs="SimSun"/>
        </w:rPr>
        <w:t>个本科专业（含方向），形成了以工为主，工、管、理多学科协调发展态势。目前，学院具有副高级以上专业技术职务的教师占专任教师总数的</w:t>
      </w:r>
      <w:r>
        <w:rPr>
          <w:rFonts w:ascii="Times New Roman" w:eastAsia="Times New Roman" w:hAnsi="Times New Roman" w:cs="Times New Roman"/>
        </w:rPr>
        <w:t>47.7%</w:t>
      </w:r>
      <w:r>
        <w:rPr>
          <w:rFonts w:ascii="SimSun" w:eastAsia="SimSun" w:hAnsi="SimSun" w:cs="SimSun"/>
        </w:rPr>
        <w:t>，现有在校学生（含高职升本科、中职升本科）</w:t>
      </w:r>
      <w:r>
        <w:rPr>
          <w:rFonts w:ascii="Times New Roman" w:eastAsia="Times New Roman" w:hAnsi="Times New Roman" w:cs="Times New Roman"/>
        </w:rPr>
        <w:t>7300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机械设计制造及其自动化、机械电子工程、材料成型及控制工程</w:t>
      </w:r>
      <w:r>
        <w:rPr>
          <w:rFonts w:ascii="Times New Roman" w:eastAsia="Times New Roman" w:hAnsi="Times New Roman" w:cs="Times New Roman"/>
        </w:rPr>
        <w:t>(</w:t>
      </w:r>
      <w:r>
        <w:rPr>
          <w:rFonts w:ascii="SimSun" w:eastAsia="SimSun" w:hAnsi="SimSun" w:cs="SimSun"/>
        </w:rPr>
        <w:t>模具设计制造及自动化方向）专业在天津理工大学中环信息学院海河园院区就读。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学院成立招生委员会，全面负责学院招生工作，制定招生政策、招生计划，决定有关招生的重大事宜。招生委员会下设招生办公室，是学院组织和实施招生工作的常设机构，负责招生的日常工作。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学院招生工作实施全程监督，设立招生监督举报电话，全面接受考生和社会的监督。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学院根据发展规划、办学条件、生源状况和社会需求，制定</w:t>
      </w:r>
      <w:r>
        <w:rPr>
          <w:rFonts w:ascii="Times New Roman" w:eastAsia="Times New Roman" w:hAnsi="Times New Roman" w:cs="Times New Roman"/>
        </w:rPr>
        <w:t>2019</w:t>
      </w:r>
      <w:r>
        <w:rPr>
          <w:rFonts w:ascii="SimSun" w:eastAsia="SimSun" w:hAnsi="SimSun" w:cs="SimSun"/>
        </w:rPr>
        <w:t>年面向</w:t>
      </w:r>
      <w:r>
        <w:rPr>
          <w:rFonts w:ascii="Times New Roman" w:eastAsia="Times New Roman" w:hAnsi="Times New Roman" w:cs="Times New Roman"/>
        </w:rPr>
        <w:t>31</w:t>
      </w:r>
      <w:r>
        <w:rPr>
          <w:rFonts w:ascii="SimSun" w:eastAsia="SimSun" w:hAnsi="SimSun" w:cs="SimSun"/>
        </w:rPr>
        <w:t>个省、自治区、直辖市的分省分专业招生计划。分省分专业招生规模以有关省级招办公布的招生计划为准，预留计划数不超过学院本科招生计划的</w:t>
      </w:r>
      <w:r>
        <w:rPr>
          <w:rFonts w:ascii="Times New Roman" w:eastAsia="Times New Roman" w:hAnsi="Times New Roman" w:cs="Times New Roman"/>
        </w:rPr>
        <w:t>1%</w:t>
      </w:r>
      <w:r>
        <w:rPr>
          <w:rFonts w:ascii="SimSun" w:eastAsia="SimSun" w:hAnsi="SimSun" w:cs="SimSun"/>
        </w:rPr>
        <w:t>。预留计划使用需经院招生委员会审批，用于生源好、志愿足的省、自治区、直辖市招生。招生录取过程中，根据实际情况学院提出对部分省、自治区、直辖市的招生计划调整意见，报经上级主管部门批准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学费标准：根据津发改价费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449</w:t>
      </w:r>
      <w:r>
        <w:rPr>
          <w:rFonts w:ascii="SimSun" w:eastAsia="SimSun" w:hAnsi="SimSun" w:cs="SimSun"/>
        </w:rPr>
        <w:t>号和津发改价费</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603</w:t>
      </w:r>
      <w:r>
        <w:rPr>
          <w:rFonts w:ascii="SimSun" w:eastAsia="SimSun" w:hAnsi="SimSun" w:cs="SimSun"/>
        </w:rPr>
        <w:t>号文件精神，学费收取执行如下标准：自动化、电气工程及其自动化、电气工程与智能控制、机械设计制造及其自动化、机械电子工程、材料成型及控制工程、电子信息科学与技术、电子信息工程、通信工程、物联网工程、测控技术与仪器、计算机科学与技术、软件工程、网络工程专业收费</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生，工程管理、财务管理、物流管理、人力资源管理专业收费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生。住宿由学院统一安排，收费标准为六人间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生、四人间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生。各专业收费标准详见省、自治区、直辖市招生办公室公布的招生计划表或学院下发的</w:t>
      </w:r>
      <w:r>
        <w:rPr>
          <w:rFonts w:ascii="Times New Roman" w:eastAsia="Times New Roman" w:hAnsi="Times New Roman" w:cs="Times New Roman"/>
        </w:rPr>
        <w:t>2019</w:t>
      </w:r>
      <w:r>
        <w:rPr>
          <w:rFonts w:ascii="SimSun" w:eastAsia="SimSun" w:hAnsi="SimSun" w:cs="SimSun"/>
        </w:rPr>
        <w:t>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招生录取工作遵循公平竞争、公正选拔、公开程序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省（自治区、直辖市），以院校志愿优先为原则，即按考生填报的院校志愿顺序，从高分到低分录取第一志愿报考我院的考生，只有当各省（自治区、直辖市）公布的同批次最低控制线上的第一志愿报考我院的人数少于招生计划时，才录取第二志愿报考我院的考生，依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对实行平行志愿的省（自治区、直辖市），执行考生所在地招生委员会的录取规定。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录取以分数优先为原则，即将调档范围的考生档案先按高分到低分排队，依次按照考生填报的专业志愿顺序录取。如考生分数未达到第一专业志愿录取分数，即看是否达到第二专业志愿录取分数，依此类推，直至最后一个专业志愿。在考生所报专业志愿均未被录取情况下，对服从专业调剂者，可调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天津市普通高校招生考试制度综合改革方案以及学院的实际，对天津考生，录取按分数优先的原则安排专业，高考成绩同分情况下优先安排高中学业水平考试成绩较佳的考生；高中学业水平成绩相同则优先安排综合素质评价结果较佳的考生。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等第的个数，如果</w:t>
      </w:r>
      <w:r>
        <w:rPr>
          <w:rFonts w:ascii="Times New Roman" w:eastAsia="Times New Roman" w:hAnsi="Times New Roman" w:cs="Times New Roman"/>
        </w:rPr>
        <w:t>A</w:t>
      </w:r>
      <w:r>
        <w:rPr>
          <w:rFonts w:ascii="SimSun" w:eastAsia="SimSun" w:hAnsi="SimSun" w:cs="SimSun"/>
        </w:rPr>
        <w:t>等第的个数相同，再比较</w:t>
      </w:r>
      <w:r>
        <w:rPr>
          <w:rFonts w:ascii="Times New Roman" w:eastAsia="Times New Roman" w:hAnsi="Times New Roman" w:cs="Times New Roman"/>
        </w:rPr>
        <w:t>B</w:t>
      </w:r>
      <w:r>
        <w:rPr>
          <w:rFonts w:ascii="SimSun" w:eastAsia="SimSun" w:hAnsi="SimSun" w:cs="SimSun"/>
        </w:rPr>
        <w:t>等第的个数，依次类推。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根据江苏省普通高校招生录取办法以及学院的实际，对江苏省考生进档后的排序规则采用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根据内蒙古自治区规定，在内蒙古自治区招生实行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对于浙江省考生，录取时将执行浙江省当年录取工作方案相关规定。我院在浙江省招生专业对考试科目要求、综合素质档案的使用办法以浙江省教育招生考试部门及我院官方网站公示为准。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对于上海市考生，录取时将执行上海市当年录取工作方案相关规定。我院在上海市招生专业对考试科目要求、综合素质档案的使用办法以上海市教育招生考试部门及我院官方网站公示为准。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2020</w:t>
      </w:r>
      <w:r>
        <w:rPr>
          <w:rFonts w:ascii="SimSun" w:eastAsia="SimSun" w:hAnsi="SimSun" w:cs="SimSun"/>
        </w:rPr>
        <w:t>年在北京市、天津市、山东省和海南省高考综合改革试点省（市）招生专业对考试科目的要求、综合素质档案的使用办法以四省（市）教育招生考试部门及我院官方网站公示为准。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对于政策加分考生的录取，按照教育部规定的原则执行。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同等条件下，优先录取获得省级优秀学生、优秀学生干部、三好学生等荣誉称号以及数学、英语分数总和较高的考生。天津市考生执行本章程第十一条之有关规定。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依照教育部、卫生部、中国残疾人联合会颁布的《普通高等学院招生体检工作指导意见》，对考生身体健康状况进行审查和复查。对不符合标准的，按指导意见的相关规定处理。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学院所设公共外语课程均为英语，请其他语种考生慎重填报。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学院在接到各省、自治区、直辖市招生办公室核准备案的录取考生名单后寄发录取通知书，录取通知书以特快专递的方式寄出。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有关要求和规定的期限到校办理入学手续。因故不能按期入学者，应当向学院请假。未请假或者请假逾期者，除因不可抗力等正当事由以外，视为放弃入学资格。学院在报到时对新生入学资格进行初步审查，审查合格的办理入学手续，予以注册学籍；复查中发现学生存在弄虚作假、徇私舞弊等情形的，确定为复查不合格，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新生入学后，学院依据《天津理工大学中环信息学院学籍管理规定》等规章制度进行管理；按专业培养方案对学生进行培养。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学院建立奖学金制度，包括国家、政府、励志奖学金、国家助学金和院级各级奖学金。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理工大学中环信息学院全日制普通高等学校毕业证书；对符合《天津理工大学中环信息学院学士学位授予工作规定》要求的毕业生，授予天津理工大学中环信息学院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年天津理工大学中环信息学院普通本科招生工作。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本章程由天津理工大学中环信息学院制定，报上级主管部门审核。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本章程自公布之日起施行。凡以前学院有关本科招生工作的政策、规定与本章程不一致的，一律废止，均以本章程规定为准。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在招生咨询过程中学院咨询人员的意见、建议仅作为考生填报志愿的参考，不能误解为学院承诺。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学院不委托任何中介机构或个人从事招生活动。对考生及其家长因参加中介机构或个人的招生活动而造成的损失，学院概不负责。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我院是独立学院，尚未开展减免学费工作，符合一定条件的学生可向户籍所在地的学生资助管理中心或金融机构申请生源地信用助学贷款。经济困难考生请慎重填报。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www.tjzhic.com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E-mail:tjzhiczb@126.com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022-86437526</w:t>
      </w:r>
      <w:r>
        <w:rPr>
          <w:rFonts w:ascii="SimSun" w:eastAsia="SimSun" w:hAnsi="SimSun" w:cs="SimSun"/>
        </w:rPr>
        <w:t>、</w:t>
      </w:r>
      <w:r>
        <w:rPr>
          <w:rFonts w:ascii="Times New Roman" w:eastAsia="Times New Roman" w:hAnsi="Times New Roman" w:cs="Times New Roman"/>
        </w:rPr>
        <w:t xml:space="preserve">86437522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022-86437528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地址：天津市西青区杨柳青柳口路</w:t>
      </w:r>
      <w:r>
        <w:rPr>
          <w:rFonts w:ascii="Times New Roman" w:eastAsia="Times New Roman" w:hAnsi="Times New Roman" w:cs="Times New Roman"/>
        </w:rPr>
        <w:t>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海河园院区：天津海河教育园区文惠南路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300380</w:t>
      </w:r>
      <w:r>
        <w:rPr>
          <w:rFonts w:ascii="SimSun" w:eastAsia="SimSun" w:hAnsi="SimSun" w:cs="SimSun"/>
        </w:rPr>
        <w:t>、</w:t>
      </w:r>
      <w:r>
        <w:rPr>
          <w:rFonts w:ascii="Times New Roman" w:eastAsia="Times New Roman" w:hAnsi="Times New Roman" w:cs="Times New Roman"/>
        </w:rPr>
        <w:t xml:space="preserve">300350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天津工艺美术职业学院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22.html" TargetMode="External" /><Relationship Id="rId5" Type="http://schemas.openxmlformats.org/officeDocument/2006/relationships/hyperlink" Target="http://www.gk114.com/a/gxzs/zszc/tianjin/2019/0610/9624.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