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为了进一步规范招生行为，切实维护学校和考生的合法权益，根据《中华人民共和国教育法》、《中华人民共和国高等教育法》和相关法律法规及教育部相关文件，结合我校招生工作实际，制定本章程。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本章程是我校向社会公布有关招生政策、规定及相关信息的主要方式，是我校开展招生工作和录取新生的重要依据。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本章程经天津理工大学校长办公会审查通过，并报上级主管部门依据国家法律和招生政策审核。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五、校址：天津市西青区宾水西道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天津理工大学是一所以工为主，工理结合，工、理、管、文、艺等学科协调发展的多科性大学。本科招生专业</w:t>
      </w:r>
      <w:r>
        <w:rPr>
          <w:rFonts w:ascii="Times New Roman" w:eastAsia="Times New Roman" w:hAnsi="Times New Roman" w:cs="Times New Roman"/>
        </w:rPr>
        <w:t>61</w:t>
      </w:r>
      <w:r>
        <w:rPr>
          <w:rFonts w:ascii="SimSun" w:eastAsia="SimSun" w:hAnsi="SimSun" w:cs="SimSun"/>
        </w:rPr>
        <w:t>个，覆盖工、理、管、文、艺等学科门类。学校拥有中国工程院院士、国家杰青、优青等一批优秀人才；注重教学科研创新平台建设，建有国家级实验教学示范中心、国家级工程实验室、教育部重点实验室等平台；获批国家首批一流本科专业建设点</w:t>
      </w:r>
      <w:r>
        <w:rPr>
          <w:rFonts w:ascii="Times New Roman" w:eastAsia="Times New Roman" w:hAnsi="Times New Roman" w:cs="Times New Roman"/>
        </w:rPr>
        <w:t>10</w:t>
      </w:r>
      <w:r>
        <w:rPr>
          <w:rFonts w:ascii="SimSun" w:eastAsia="SimSun" w:hAnsi="SimSun" w:cs="SimSun"/>
        </w:rPr>
        <w:t>个。有一级学科硕士点</w:t>
      </w:r>
      <w:r>
        <w:rPr>
          <w:rFonts w:ascii="Times New Roman" w:eastAsia="Times New Roman" w:hAnsi="Times New Roman" w:cs="Times New Roman"/>
        </w:rPr>
        <w:t>22</w:t>
      </w:r>
      <w:r>
        <w:rPr>
          <w:rFonts w:ascii="SimSun" w:eastAsia="SimSun" w:hAnsi="SimSun" w:cs="SimSun"/>
        </w:rPr>
        <w:t>个、一级学科博士点</w:t>
      </w:r>
      <w:r>
        <w:rPr>
          <w:rFonts w:ascii="Times New Roman" w:eastAsia="Times New Roman" w:hAnsi="Times New Roman" w:cs="Times New Roman"/>
        </w:rPr>
        <w:t>3</w:t>
      </w:r>
      <w:r>
        <w:rPr>
          <w:rFonts w:ascii="SimSun" w:eastAsia="SimSun" w:hAnsi="SimSun" w:cs="SimSun"/>
        </w:rPr>
        <w:t>个、一级学科博士后科研流动站</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理工大学普通本科招生工作委员会，全面负责学校的本科招生工作，制定本科招生章程以及相关规定并组织实施，审议招生政策、制度和程序，决定具体招生计划，讨论决定职责范围内的其他有关招生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天津理工大学招生工作办公室作为学校组织实施本科招生工作的常设机构，负责本科招生日常工作。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天津理工大学招生工作监察小组，负责监督整个招生过程，确保我校招生工作公平、公正。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我校根据发展规划、办学条件、学科特点、生源状况和社会需求制定了</w:t>
      </w:r>
      <w:r>
        <w:rPr>
          <w:rFonts w:ascii="Times New Roman" w:eastAsia="Times New Roman" w:hAnsi="Times New Roman" w:cs="Times New Roman"/>
        </w:rPr>
        <w:t>2020</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个省（直辖市、自治区）的分类、分专业招生计划。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经教育部核准下达的具体招生专业、招生人数，按照规定时间报送各省（直辖市、自治区）高校招生主管部门，具体分省分专业招生计划以各省（直辖市、自治区）高校招生主管部门公布的为准。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本科预留计划不超过学校本科招生计划的</w:t>
      </w:r>
      <w:r>
        <w:rPr>
          <w:rFonts w:ascii="Times New Roman" w:eastAsia="Times New Roman" w:hAnsi="Times New Roman" w:cs="Times New Roman"/>
        </w:rPr>
        <w:t>1%</w:t>
      </w:r>
      <w:r>
        <w:rPr>
          <w:rFonts w:ascii="SimSun" w:eastAsia="SimSun" w:hAnsi="SimSun" w:cs="SimSun"/>
        </w:rPr>
        <w:t>，用于生源质量调控等。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本科学费标准：文科类（不含外国语言文学类）每生每学年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元，艺术设计学类每生每学年</w:t>
      </w:r>
      <w:r>
        <w:rPr>
          <w:rFonts w:ascii="Times New Roman" w:eastAsia="Times New Roman" w:hAnsi="Times New Roman" w:cs="Times New Roman"/>
        </w:rPr>
        <w:t>12000</w:t>
      </w:r>
      <w:r>
        <w:rPr>
          <w:rFonts w:ascii="SimSun" w:eastAsia="SimSun" w:hAnsi="SimSun" w:cs="SimSun"/>
        </w:rPr>
        <w:t>元，美术学类（摄影）每生每学年</w:t>
      </w:r>
      <w:r>
        <w:rPr>
          <w:rFonts w:ascii="Times New Roman" w:eastAsia="Times New Roman" w:hAnsi="Times New Roman" w:cs="Times New Roman"/>
        </w:rPr>
        <w:t>15000</w:t>
      </w:r>
      <w:r>
        <w:rPr>
          <w:rFonts w:ascii="SimSun" w:eastAsia="SimSun" w:hAnsi="SimSun" w:cs="SimSun"/>
        </w:rPr>
        <w:t>元。中外合作办学专业：</w:t>
      </w:r>
      <w:r>
        <w:rPr>
          <w:rFonts w:ascii="Cambria Math" w:eastAsia="Cambria Math" w:hAnsi="Cambria Math" w:cs="Cambria Math"/>
        </w:rPr>
        <w:t>①</w:t>
      </w:r>
      <w:r>
        <w:rPr>
          <w:rFonts w:ascii="SimSun" w:eastAsia="SimSun" w:hAnsi="SimSun" w:cs="SimSun"/>
        </w:rPr>
        <w:t>、与加拿大魁北克大学西库提米分校合作动画专业学费每生每学年</w:t>
      </w:r>
      <w:r>
        <w:rPr>
          <w:rFonts w:ascii="Times New Roman" w:eastAsia="Times New Roman" w:hAnsi="Times New Roman" w:cs="Times New Roman"/>
        </w:rPr>
        <w:t>30000</w:t>
      </w:r>
      <w:r>
        <w:rPr>
          <w:rFonts w:ascii="SimSun" w:eastAsia="SimSun" w:hAnsi="SimSun" w:cs="SimSun"/>
        </w:rPr>
        <w:t>元；</w:t>
      </w:r>
      <w:r>
        <w:rPr>
          <w:rFonts w:ascii="Cambria Math" w:eastAsia="Cambria Math" w:hAnsi="Cambria Math" w:cs="Cambria Math"/>
        </w:rPr>
        <w:t>②</w:t>
      </w:r>
      <w:r>
        <w:rPr>
          <w:rFonts w:ascii="SimSun" w:eastAsia="SimSun" w:hAnsi="SimSun" w:cs="SimSun"/>
        </w:rPr>
        <w:t>、与加拿大魁北克大学西库提米分校合作计算机科学与技术专业学费每生每学年</w:t>
      </w:r>
      <w:r>
        <w:rPr>
          <w:rFonts w:ascii="Times New Roman" w:eastAsia="Times New Roman" w:hAnsi="Times New Roman" w:cs="Times New Roman"/>
        </w:rPr>
        <w:t>24000</w:t>
      </w:r>
      <w:r>
        <w:rPr>
          <w:rFonts w:ascii="SimSun" w:eastAsia="SimSun" w:hAnsi="SimSun" w:cs="SimSun"/>
        </w:rPr>
        <w:t>元；</w:t>
      </w:r>
      <w:r>
        <w:rPr>
          <w:rFonts w:ascii="Cambria Math" w:eastAsia="Cambria Math" w:hAnsi="Cambria Math" w:cs="Cambria Math"/>
        </w:rPr>
        <w:t>③</w:t>
      </w:r>
      <w:r>
        <w:rPr>
          <w:rFonts w:ascii="SimSun" w:eastAsia="SimSun" w:hAnsi="SimSun" w:cs="SimSun"/>
        </w:rPr>
        <w:t>、与加拿大汤姆逊大学合作工商管理专业学费每生每学年</w:t>
      </w:r>
      <w:r>
        <w:rPr>
          <w:rFonts w:ascii="Times New Roman" w:eastAsia="Times New Roman" w:hAnsi="Times New Roman" w:cs="Times New Roman"/>
        </w:rPr>
        <w:t>18000</w:t>
      </w:r>
      <w:r>
        <w:rPr>
          <w:rFonts w:ascii="SimSun" w:eastAsia="SimSun" w:hAnsi="SimSun" w:cs="SimSun"/>
        </w:rPr>
        <w:t>元；</w:t>
      </w:r>
      <w:r>
        <w:rPr>
          <w:rFonts w:ascii="Cambria Math" w:eastAsia="Cambria Math" w:hAnsi="Cambria Math" w:cs="Cambria Math"/>
        </w:rPr>
        <w:t>④</w:t>
      </w:r>
      <w:r>
        <w:rPr>
          <w:rFonts w:ascii="SimSun" w:eastAsia="SimSun" w:hAnsi="SimSun" w:cs="SimSun"/>
        </w:rPr>
        <w:t>、与日本大阪产业大学合作工业工程专业学费每生每学年</w:t>
      </w:r>
      <w:r>
        <w:rPr>
          <w:rFonts w:ascii="Times New Roman" w:eastAsia="Times New Roman" w:hAnsi="Times New Roman" w:cs="Times New Roman"/>
        </w:rPr>
        <w:t>12000</w:t>
      </w:r>
      <w:r>
        <w:rPr>
          <w:rFonts w:ascii="SimSun" w:eastAsia="SimSun" w:hAnsi="SimSun" w:cs="SimSun"/>
        </w:rPr>
        <w:t>元。进入天津市大学软件学院，采用新的人才培养模式开设的软件工程专业按照天津市发改委批准的示范性软件学院收费标准执行。各专业收费标准详见各省（直辖市、自治区）招生主管部门公布的招生计划表或学校下发的</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级新生中，软件工程专业在天津市大学软件学院上学（天津市西青区宾水西道</w:t>
      </w:r>
      <w:r>
        <w:rPr>
          <w:rFonts w:ascii="Times New Roman" w:eastAsia="Times New Roman" w:hAnsi="Times New Roman" w:cs="Times New Roman"/>
        </w:rPr>
        <w:t>399</w:t>
      </w:r>
      <w:r>
        <w:rPr>
          <w:rFonts w:ascii="SimSun" w:eastAsia="SimSun" w:hAnsi="SimSun" w:cs="SimSun"/>
        </w:rPr>
        <w:t>号），其他专业新生在天津理工大学（天津市西青区宾水西道</w:t>
      </w:r>
      <w:r>
        <w:rPr>
          <w:rFonts w:ascii="Times New Roman" w:eastAsia="Times New Roman" w:hAnsi="Times New Roman" w:cs="Times New Roman"/>
        </w:rPr>
        <w:t>391</w:t>
      </w:r>
      <w:r>
        <w:rPr>
          <w:rFonts w:ascii="SimSun" w:eastAsia="SimSun" w:hAnsi="SimSun" w:cs="SimSun"/>
        </w:rPr>
        <w:t>号）上学。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联合培养录取学生按照学校与学生签订的协议执行。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我校招生录取工作全面贯彻实施高校招生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公平竞争、公正选拔、公开程序的原则；执行国家教育部和各省（直辖市、自治区）招生主管部门制定的录取政策，结合学校招生工作实际确定的并在本章程中公布的有关规定；以考生填报的志愿和高考总分（投档分）为主要依据，综合素质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我校在各实施高考综合改革的省份录取时，执行各相关省市高校招生主管部门关于各省普通高等学校招生录取方式改革实施办法和工作方案的相关规定。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录取过程中自觉接受各省（直辖市、自治区）招生主管部门、纪检监察部门、考生和社会各界的监督。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我校在高考综合改革试点省（市）确定的专业（或专业类）对高中学业水平考试的选考科目要求及学生综合素质档案材料的使用办法以各省（市）公布为准。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时将依据考生填报的院校志愿，按照考生的高考总分（投档分）录取。实行平行志愿投档的省份，按平行志愿投档政策执行。未实行平行志愿投档的省份，按志愿优先原则执行，即在同一科类、相应批次的省（直辖市、自治区）录取控制分数线上，先按考生填报的院校志愿，从高分到低分顺序排队录取第一志愿报考我校的考生；只有当考生所在省（直辖市、自治区）公布的同批次最低控制线上第一志愿报考我校的人数少于我校招生计划数量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原则（内蒙古自治区遵循</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无专业级差，即对同一科类、相应批次的投档考生，按高考总分（投档分）从高分到低分顺序排队，并从高分到低分依次按照考生填报的专业志愿顺序录取。如考生第一专业志愿未达到该专业的录取分数，再看第二专业志愿是否达到该专业录取分数，依此类推直至最后一个专业志愿，在考生所报专业志愿均未被录取的情况下，对服从专业调剂者，可调到尚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对于江苏省普通类考生，我校普通类专业的学业水平测试要求及对选测科目的要求以我校招生计划公布的为准。对进档考生，按照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对各实施高考综合改革的省（直辖市、自治区）的考生，高考总分（投档分）相同条件下，按各省（直辖市、自治区）确定的同分排序规则，参考考生综合素质评价信息进行专业录取。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其他未实施高考综合改革的省（直辖市、自治区）的考生，高考总分（投档分）相同条件下，依据考生专业志愿顺序录取，若专业志愿顺序相同，优先录取英语、数学两科高考分数之和较高的考生和获省级优秀学生、优秀学生干部、三好生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以下简称指导意见）对考生身体健康状况进行审查和复查。对不符合标准的，按《指导意见》中所作的相关规定进行处理。我校航海技术专业、轮机工程专业、船舶电子电气工程专业只招男生，对考生视力、色觉、身高等有所要求，具体体检标准参照海事局最新颁布标准执行（或请详查我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非外语专业的公共外语课程均为英语，其他小语种考生请慎重填报；报考我校英语、日语专业，不需要参加各省市招生主管部门组织的口语测试。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艺术类考生录取规则详见《天津理工大学</w:t>
      </w:r>
      <w:r>
        <w:rPr>
          <w:rFonts w:ascii="Times New Roman" w:eastAsia="Times New Roman" w:hAnsi="Times New Roman" w:cs="Times New Roman"/>
        </w:rPr>
        <w:t>2020</w:t>
      </w:r>
      <w:r>
        <w:rPr>
          <w:rFonts w:ascii="SimSun" w:eastAsia="SimSun" w:hAnsi="SimSun" w:cs="SimSun"/>
        </w:rPr>
        <w:t>年艺术类专业招生简章》。听障考生录取规则详见《天津理工大学</w:t>
      </w:r>
      <w:r>
        <w:rPr>
          <w:rFonts w:ascii="Times New Roman" w:eastAsia="Times New Roman" w:hAnsi="Times New Roman" w:cs="Times New Roman"/>
        </w:rPr>
        <w:t>2020</w:t>
      </w:r>
      <w:r>
        <w:rPr>
          <w:rFonts w:ascii="SimSun" w:eastAsia="SimSun" w:hAnsi="SimSun" w:cs="SimSun"/>
        </w:rPr>
        <w:t>年听障本科学生招生简章》。高水平运动队录取规则详见《天津理工大学</w:t>
      </w:r>
      <w:r>
        <w:rPr>
          <w:rFonts w:ascii="Times New Roman" w:eastAsia="Times New Roman" w:hAnsi="Times New Roman" w:cs="Times New Roman"/>
        </w:rPr>
        <w:t>2020</w:t>
      </w:r>
      <w:r>
        <w:rPr>
          <w:rFonts w:ascii="SimSun" w:eastAsia="SimSun" w:hAnsi="SimSun" w:cs="SimSun"/>
        </w:rPr>
        <w:t>年高水平运动队招生简章》。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按照规定，学校在接到各省（直辖市、自治区）招生办录取审批单后寄发录取通知书，录取通知书一律以特快专递的方式寄出。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入学及管理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在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对应征参加中国人民解放军（含中国人民武装警察部队）的新生，经学生申请、学校审核同意后，为其保留入学资格至退役后</w:t>
      </w:r>
      <w:r>
        <w:rPr>
          <w:rFonts w:ascii="Times New Roman" w:eastAsia="Times New Roman" w:hAnsi="Times New Roman" w:cs="Times New Roman"/>
        </w:rPr>
        <w:t>2</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依据《普通高等学校学生管理规定》、《天津理工大学本科生学籍管理规定》等相关规章制度进行管理；新生入学后将进行体检复查，艺术类考生入学后将进行专业复试，复查或复试不合格者将按上级和我校有关规定处理；凡发现以弄虚作假手段取得入学资格者，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学生入学后，按教学计划对学生进行培养，学生在校期间实行学分制。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天津理工大学设有覆盖面近</w:t>
      </w:r>
      <w:r>
        <w:rPr>
          <w:rFonts w:ascii="Times New Roman" w:eastAsia="Times New Roman" w:hAnsi="Times New Roman" w:cs="Times New Roman"/>
        </w:rPr>
        <w:t>40%</w:t>
      </w:r>
      <w:r>
        <w:rPr>
          <w:rFonts w:ascii="SimSun" w:eastAsia="SimSun" w:hAnsi="SimSun" w:cs="SimSun"/>
        </w:rPr>
        <w:t>的多种形式奖学金；设有国家助学贷款和勤工助学岗位。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学生完成规定的学业，且符合毕业条件，颁发天津理工大学全日制普通高等学校毕业证书，高职升本科毕业生的毕业证书注明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；对符合《天津理工大学关于授予本科生学士学位的规定》要求的毕业生，授予学士学位，颁发学位证书。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我校以前有关招生工作的政策、规定凡与本章程不一致的以本章程为准。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本章程公布后，如遇部分省份高考招生政策调整，天津理工大学将制定相应的录取政策并另行公布。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本章程由天津理工大学招生工作办公室负责解释。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022-60216795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022-60216276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zsb.tjut.edu.cn    E-mail: zsb@tjut.edu.cn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3.html" TargetMode="External" /><Relationship Id="rId5" Type="http://schemas.openxmlformats.org/officeDocument/2006/relationships/hyperlink" Target="http://www.gk114.com/a/gxzs/zszc/tianjin/2020/0621/1692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