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天津理工大学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w:t>
      </w:r>
      <w:r>
        <w:rPr>
          <w:rFonts w:ascii="SimSun" w:eastAsia="SimSun" w:hAnsi="SimSun" w:cs="SimSun"/>
        </w:rPr>
        <w:t>为了进一步规范招生行为，切实维护学校和考生的合法权益，根据《中华人民共和国教育法》《中华人民共和国高等教育法》以及教育部相关规定，结合我校本科招生工作实际，制定本章程。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w:t>
      </w:r>
      <w:r>
        <w:rPr>
          <w:rFonts w:ascii="SimSun" w:eastAsia="SimSun" w:hAnsi="SimSun" w:cs="SimSun"/>
        </w:rPr>
        <w:t>本章程是我校向社会公布有关招生政策、规定及相关信息的主要方式，是我校开展招生工作和录取新生的重要依据。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本章程经上级主管部门审核后，向社会公布。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学校名称：天津理工大学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10060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天津理工大学是一所以工为主，工理结合，工、理、管、文、艺等学科协调发展的多科性大学。本科招生专业</w:t>
      </w:r>
      <w:r>
        <w:rPr>
          <w:rFonts w:ascii="Times New Roman" w:eastAsia="Times New Roman" w:hAnsi="Times New Roman" w:cs="Times New Roman"/>
        </w:rPr>
        <w:t>62</w:t>
      </w:r>
      <w:r>
        <w:rPr>
          <w:rFonts w:ascii="SimSun" w:eastAsia="SimSun" w:hAnsi="SimSun" w:cs="SimSun"/>
        </w:rPr>
        <w:t>个，覆盖工、理、管、文、艺等学科门类。学校拥有中国工程院院士、国家杰青、优青等一批优秀人才；注重教学科研创新平台建设，建有国家级实验教学示范中心、国家级工程实验室、教育部重点实验室等平台；获批国家一流本科专业建设点</w:t>
      </w:r>
      <w:r>
        <w:rPr>
          <w:rFonts w:ascii="Times New Roman" w:eastAsia="Times New Roman" w:hAnsi="Times New Roman" w:cs="Times New Roman"/>
        </w:rPr>
        <w:t>19</w:t>
      </w:r>
      <w:r>
        <w:rPr>
          <w:rFonts w:ascii="SimSun" w:eastAsia="SimSun" w:hAnsi="SimSun" w:cs="SimSun"/>
        </w:rPr>
        <w:t>个。有一级学科硕士点</w:t>
      </w:r>
      <w:r>
        <w:rPr>
          <w:rFonts w:ascii="Times New Roman" w:eastAsia="Times New Roman" w:hAnsi="Times New Roman" w:cs="Times New Roman"/>
        </w:rPr>
        <w:t>22</w:t>
      </w:r>
      <w:r>
        <w:rPr>
          <w:rFonts w:ascii="SimSun" w:eastAsia="SimSun" w:hAnsi="SimSun" w:cs="SimSun"/>
        </w:rPr>
        <w:t>个、一级学科博士点</w:t>
      </w:r>
      <w:r>
        <w:rPr>
          <w:rFonts w:ascii="Times New Roman" w:eastAsia="Times New Roman" w:hAnsi="Times New Roman" w:cs="Times New Roman"/>
        </w:rPr>
        <w:t>4</w:t>
      </w:r>
      <w:r>
        <w:rPr>
          <w:rFonts w:ascii="SimSun" w:eastAsia="SimSun" w:hAnsi="SimSun" w:cs="SimSun"/>
        </w:rPr>
        <w:t>个、一级学科博士后科研流动站</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w:t>
      </w:r>
      <w:r>
        <w:rPr>
          <w:rFonts w:ascii="SimSun" w:eastAsia="SimSun" w:hAnsi="SimSun" w:cs="SimSun"/>
        </w:rPr>
        <w:t>天津理工大学普通本科招生工作委员会全面负责学校的本科招生工作，制定招生政策、确定招生计划、决定有关招生的重大事宜。招生工作领导小组代表招生委员会主持日常工作。成立特殊类型专项工作组，负责决策各类型专业测试和录取工作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w:t>
      </w:r>
      <w:r>
        <w:rPr>
          <w:rFonts w:ascii="SimSun" w:eastAsia="SimSun" w:hAnsi="SimSun" w:cs="SimSun"/>
        </w:rPr>
        <w:t>天津理工大学招生工作办公室作为学校组织实施本科招生工作的常设机构，负责本科招生日常工作。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天津理工大学招生工作监察小组，负责监督整个招生过程。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学校根据发展规划、办学条件、学科特点、生源状况和社会需求制定了</w:t>
      </w:r>
      <w:r>
        <w:rPr>
          <w:rFonts w:ascii="Times New Roman" w:eastAsia="Times New Roman" w:hAnsi="Times New Roman" w:cs="Times New Roman"/>
        </w:rPr>
        <w:t>2022</w:t>
      </w:r>
      <w:r>
        <w:rPr>
          <w:rFonts w:ascii="SimSun" w:eastAsia="SimSun" w:hAnsi="SimSun" w:cs="SimSun"/>
        </w:rPr>
        <w:t>年面向</w:t>
      </w:r>
      <w:r>
        <w:rPr>
          <w:rFonts w:ascii="Times New Roman" w:eastAsia="Times New Roman" w:hAnsi="Times New Roman" w:cs="Times New Roman"/>
        </w:rPr>
        <w:t>31</w:t>
      </w:r>
      <w:r>
        <w:rPr>
          <w:rFonts w:ascii="SimSun" w:eastAsia="SimSun" w:hAnsi="SimSun" w:cs="SimSun"/>
        </w:rPr>
        <w:t>个省（直辖市、自治区）的分类、分专业招生计划。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经教育部核准下达的具体招生专业、招生人数，按照规定时间报送各省（直辖市、自治区）高校招生主管部门，具体分省分专业招生计划以各省（直辖市、自治区）高校招生主管部门公布的为准。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本科预留计划不超过学校本科招生计划的</w:t>
      </w:r>
      <w:r>
        <w:rPr>
          <w:rFonts w:ascii="Times New Roman" w:eastAsia="Times New Roman" w:hAnsi="Times New Roman" w:cs="Times New Roman"/>
        </w:rPr>
        <w:t>1%</w:t>
      </w:r>
      <w:r>
        <w:rPr>
          <w:rFonts w:ascii="SimSun" w:eastAsia="SimSun" w:hAnsi="SimSun" w:cs="SimSun"/>
        </w:rPr>
        <w:t>，用于生源质量调控等。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我校招生录取工作全面贯彻实施高校招生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公平竞争、公正选拔、公开程序的原则，执行国家教育部和各省（直辖市、自治区）招生主管部门制定的录取政策，并结合我校招生工作实际情况和本章程的有关规定，以考生填报的志愿和高考文化成绩为主要依据，实行综合素质全面考核，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各实施高考综合改革的省份录取时，执行各相关省市高校招生主管部门关于各省普通高等学校招生录取方式改革实施办法和工作方案的相关规定。在高考综合改革试点省（直辖市）确定的专业（或专业类）对高中学业水平考试的选考科目要求以各省（直辖市）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时将依据考生填报的院校志愿，按照考生的高考总分（投档分）录取。实行平行志愿投档的省份，执行所在省份的政策。未实施平行志愿投档的省份，学校录取遵循志愿优先原则，优先录取第一志愿报考我校的考生，当考生所在省份公布的同批次最低控制线上第一志愿报考我校的人数少于我校招生计划数时，才录取第二志愿报考我校的考生，并依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专业录取遵循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原则（内蒙古自治区普通类专业遵循</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原则），无专业级差。考生在所报专业志愿均未被录取情况下，对服从专业调剂者，调到未录满专业；对不服从专业调剂者，作退档处理。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对各实施高考综合改革的省（直辖市）的考生，高考总分（投档分）相同条件下，按各省（直辖市）确定的同分排序规则进行专业录取。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其他未实施高考综合改革的省（自治区）的考生，高考总分（投档分）相同条件下，依据考生专业志愿顺序录取，若专业志愿顺序相同，优先录取语文、数学、外语三科高考分数之和较高的考生和获省级优秀学生、优秀学生干部、三好生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的身体健康要求，依照教育部、原卫生部和中国残疾人联合会颁布的《普通高等学校招生体检工作指导意见》和人力资源社会保障部、教育部、原卫生部《关于进一步规范入学和就业体检项目维护乙肝表面抗原携带者入学和就业权利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我校航海技术专业、轮机工程专业、船舶电子电气工程专业只招男生，对考生视力、色觉、身高等有所要求，具体体检标准参照《船员健康检查要求》（</w:t>
      </w:r>
      <w:r>
        <w:rPr>
          <w:rFonts w:ascii="Times New Roman" w:eastAsia="Times New Roman" w:hAnsi="Times New Roman" w:cs="Times New Roman"/>
        </w:rPr>
        <w:t>GB30035-2021</w:t>
      </w:r>
      <w:r>
        <w:rPr>
          <w:rFonts w:ascii="SimSun" w:eastAsia="SimSun" w:hAnsi="SimSun" w:cs="SimSun"/>
        </w:rPr>
        <w:t>）执行（或详查我校招生简章）。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内地西藏新疆高中班毕业生计划、少数民族预科班等专项计划招生工作按教育部和有关省份的规定执行。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学校非外语专业的公共外语课程均为英语，其他非英语语种考生请慎重填报；报考我校英语、日语专业，不需要参加各省市招生主管部门组织的口语测试。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学校在各省（直辖市、自治区）的录取批次以各省（直辖市、自治区）安排的为准。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艺术类考生录取规则详见《天津理工大学</w:t>
      </w:r>
      <w:r>
        <w:rPr>
          <w:rFonts w:ascii="Times New Roman" w:eastAsia="Times New Roman" w:hAnsi="Times New Roman" w:cs="Times New Roman"/>
        </w:rPr>
        <w:t>2022</w:t>
      </w:r>
      <w:r>
        <w:rPr>
          <w:rFonts w:ascii="SimSun" w:eastAsia="SimSun" w:hAnsi="SimSun" w:cs="SimSun"/>
        </w:rPr>
        <w:t>年艺术类专业招生简章》。听障考生录取规则详见《天津理工大学</w:t>
      </w:r>
      <w:r>
        <w:rPr>
          <w:rFonts w:ascii="Times New Roman" w:eastAsia="Times New Roman" w:hAnsi="Times New Roman" w:cs="Times New Roman"/>
        </w:rPr>
        <w:t>2022</w:t>
      </w:r>
      <w:r>
        <w:rPr>
          <w:rFonts w:ascii="SimSun" w:eastAsia="SimSun" w:hAnsi="SimSun" w:cs="SimSun"/>
        </w:rPr>
        <w:t>年听障生（本科）招生简章》。高水平运动队录取规则详见《天津理工大学</w:t>
      </w:r>
      <w:r>
        <w:rPr>
          <w:rFonts w:ascii="Times New Roman" w:eastAsia="Times New Roman" w:hAnsi="Times New Roman" w:cs="Times New Roman"/>
        </w:rPr>
        <w:t>2022</w:t>
      </w:r>
      <w:r>
        <w:rPr>
          <w:rFonts w:ascii="SimSun" w:eastAsia="SimSun" w:hAnsi="SimSun" w:cs="SimSun"/>
        </w:rPr>
        <w:t>年高水平运动队招生简章》。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被学校录取的考生，经各省（直辖市、自治区）招生主管部门批准后，由学校招生工作办公室直接向考生发放录取通知书，录取通知书一律以邮政特快专递的方式寄出。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入学及管理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及本人身份证，按学校有关要求，在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对应征参加中国人民解放军（含中国人民武装警察部队）并在规定时间内办理保留入学资格手续的新生，经学生申请、学校审核同意后，为其保留入学资格至退役后</w:t>
      </w:r>
      <w:r>
        <w:rPr>
          <w:rFonts w:ascii="Times New Roman" w:eastAsia="Times New Roman" w:hAnsi="Times New Roman" w:cs="Times New Roman"/>
        </w:rPr>
        <w:t>2</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的办理入学手续，予以注册学籍。新生入学后，依据《普通高等学校学生管理规定》、《天津理工大学本科生学籍管理规定》等相关规章制度进行管理和复查，复查中发现学生存在弄虚作假、徇私舞弊等情形的，确定为复查不合格，将取消学籍；情节严重的，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学生入学后，按教学培养计划对学生进行培养。学生完成规定学业经审查达到毕业标准的颁发天津理工大学全日制普通高等学校毕业证书，高职升本科学生毕业证书注明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；对符合《天津理工大学关于授予本科生学士学位的规定》要求的毕业生，授予学士学位，颁发学位证书。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学校普通全日制本科生转专业依据《天津理工大学本科生转专业实施细则》执行。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天津理工大学设有覆盖面近</w:t>
      </w:r>
      <w:r>
        <w:rPr>
          <w:rFonts w:ascii="Times New Roman" w:eastAsia="Times New Roman" w:hAnsi="Times New Roman" w:cs="Times New Roman"/>
        </w:rPr>
        <w:t>40%</w:t>
      </w:r>
      <w:r>
        <w:rPr>
          <w:rFonts w:ascii="SimSun" w:eastAsia="SimSun" w:hAnsi="SimSun" w:cs="SimSun"/>
        </w:rPr>
        <w:t>的多种形式奖学金；学校对家庭经济困难学生设立了奖、贷、助、补、减、勤等多种形式的学生资助体系，以帮助家庭经济困难学生顺利完成学业。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本科学年制学费标准：文科类专业（不含外国语言文学类）每生每学年</w:t>
      </w:r>
      <w:r>
        <w:rPr>
          <w:rFonts w:ascii="Times New Roman" w:eastAsia="Times New Roman" w:hAnsi="Times New Roman" w:cs="Times New Roman"/>
        </w:rPr>
        <w:t>4400</w:t>
      </w:r>
      <w:r>
        <w:rPr>
          <w:rFonts w:ascii="SimSun" w:eastAsia="SimSun" w:hAnsi="SimSun" w:cs="SimSun"/>
        </w:rPr>
        <w:t>元；理工类、外语类专业每生每学年</w:t>
      </w:r>
      <w:r>
        <w:rPr>
          <w:rFonts w:ascii="Times New Roman" w:eastAsia="Times New Roman" w:hAnsi="Times New Roman" w:cs="Times New Roman"/>
        </w:rPr>
        <w:t>5400</w:t>
      </w:r>
      <w:r>
        <w:rPr>
          <w:rFonts w:ascii="SimSun" w:eastAsia="SimSun" w:hAnsi="SimSun" w:cs="SimSun"/>
        </w:rPr>
        <w:t>元；艺术设计学类专业每生每学年</w:t>
      </w:r>
      <w:r>
        <w:rPr>
          <w:rFonts w:ascii="Times New Roman" w:eastAsia="Times New Roman" w:hAnsi="Times New Roman" w:cs="Times New Roman"/>
        </w:rPr>
        <w:t>12000</w:t>
      </w:r>
      <w:r>
        <w:rPr>
          <w:rFonts w:ascii="SimSun" w:eastAsia="SimSun" w:hAnsi="SimSun" w:cs="SimSun"/>
        </w:rPr>
        <w:t>元；美术学类（摄影）专业每生每学年</w:t>
      </w:r>
      <w:r>
        <w:rPr>
          <w:rFonts w:ascii="Times New Roman" w:eastAsia="Times New Roman" w:hAnsi="Times New Roman" w:cs="Times New Roman"/>
        </w:rPr>
        <w:t>15000</w:t>
      </w:r>
      <w:r>
        <w:rPr>
          <w:rFonts w:ascii="SimSun" w:eastAsia="SimSun" w:hAnsi="SimSun" w:cs="SimSun"/>
        </w:rPr>
        <w:t>元；中外合作办学专业：</w:t>
      </w:r>
      <w:r>
        <w:rPr>
          <w:rFonts w:ascii="Cambria Math" w:eastAsia="Cambria Math" w:hAnsi="Cambria Math" w:cs="Cambria Math"/>
        </w:rPr>
        <w:t>①</w:t>
      </w:r>
      <w:r>
        <w:rPr>
          <w:rFonts w:ascii="SimSun" w:eastAsia="SimSun" w:hAnsi="SimSun" w:cs="SimSun"/>
        </w:rPr>
        <w:t>与加拿大魁北克大学西库提米分校合作动画专业学费每生每学年</w:t>
      </w:r>
      <w:r>
        <w:rPr>
          <w:rFonts w:ascii="Times New Roman" w:eastAsia="Times New Roman" w:hAnsi="Times New Roman" w:cs="Times New Roman"/>
        </w:rPr>
        <w:t>30000</w:t>
      </w:r>
      <w:r>
        <w:rPr>
          <w:rFonts w:ascii="SimSun" w:eastAsia="SimSun" w:hAnsi="SimSun" w:cs="SimSun"/>
        </w:rPr>
        <w:t>元；</w:t>
      </w:r>
      <w:r>
        <w:rPr>
          <w:rFonts w:ascii="Cambria Math" w:eastAsia="Cambria Math" w:hAnsi="Cambria Math" w:cs="Cambria Math"/>
        </w:rPr>
        <w:t>②</w:t>
      </w:r>
      <w:r>
        <w:rPr>
          <w:rFonts w:ascii="SimSun" w:eastAsia="SimSun" w:hAnsi="SimSun" w:cs="SimSun"/>
        </w:rPr>
        <w:t>与加拿大魁北克大学西库提米分校合作计算机科学与技术专业学费每生每学年</w:t>
      </w:r>
      <w:r>
        <w:rPr>
          <w:rFonts w:ascii="Times New Roman" w:eastAsia="Times New Roman" w:hAnsi="Times New Roman" w:cs="Times New Roman"/>
        </w:rPr>
        <w:t>24000</w:t>
      </w:r>
      <w:r>
        <w:rPr>
          <w:rFonts w:ascii="SimSun" w:eastAsia="SimSun" w:hAnsi="SimSun" w:cs="SimSun"/>
        </w:rPr>
        <w:t>元；</w:t>
      </w:r>
      <w:r>
        <w:rPr>
          <w:rFonts w:ascii="Cambria Math" w:eastAsia="Cambria Math" w:hAnsi="Cambria Math" w:cs="Cambria Math"/>
        </w:rPr>
        <w:t>③</w:t>
      </w:r>
      <w:r>
        <w:rPr>
          <w:rFonts w:ascii="SimSun" w:eastAsia="SimSun" w:hAnsi="SimSun" w:cs="SimSun"/>
        </w:rPr>
        <w:t>与加拿大汤姆逊大学合作工商管理专业学费每生每学年</w:t>
      </w:r>
      <w:r>
        <w:rPr>
          <w:rFonts w:ascii="Times New Roman" w:eastAsia="Times New Roman" w:hAnsi="Times New Roman" w:cs="Times New Roman"/>
        </w:rPr>
        <w:t>18000</w:t>
      </w:r>
      <w:r>
        <w:rPr>
          <w:rFonts w:ascii="SimSun" w:eastAsia="SimSun" w:hAnsi="SimSun" w:cs="SimSun"/>
        </w:rPr>
        <w:t>元；</w:t>
      </w:r>
      <w:r>
        <w:rPr>
          <w:rFonts w:ascii="Cambria Math" w:eastAsia="Cambria Math" w:hAnsi="Cambria Math" w:cs="Cambria Math"/>
        </w:rPr>
        <w:t>④</w:t>
      </w:r>
      <w:r>
        <w:rPr>
          <w:rFonts w:ascii="SimSun" w:eastAsia="SimSun" w:hAnsi="SimSun" w:cs="SimSun"/>
        </w:rPr>
        <w:t>与日本大阪产业大学合作工业工程专业学费每生每学年</w:t>
      </w:r>
      <w:r>
        <w:rPr>
          <w:rFonts w:ascii="Times New Roman" w:eastAsia="Times New Roman" w:hAnsi="Times New Roman" w:cs="Times New Roman"/>
        </w:rPr>
        <w:t>12000</w:t>
      </w:r>
      <w:r>
        <w:rPr>
          <w:rFonts w:ascii="SimSun" w:eastAsia="SimSun" w:hAnsi="SimSun" w:cs="SimSun"/>
        </w:rPr>
        <w:t>元；软件工程专业按照天津市发改委批准的示范性软件学院收费标准执行。各专业收费标准详见各省（直辖市、自治区）招生主管部门公布的招生计划表或学校下发的</w:t>
      </w:r>
      <w:r>
        <w:rPr>
          <w:rFonts w:ascii="Times New Roman" w:eastAsia="Times New Roman" w:hAnsi="Times New Roman" w:cs="Times New Roman"/>
        </w:rPr>
        <w:t>2022</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住宿费标准：</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以上收费标准如有调整，按最终价格主管部门批准的文件执行。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软件工程专业在天津市大学软件学院（天津市西青区宾水西道</w:t>
      </w:r>
      <w:r>
        <w:rPr>
          <w:rFonts w:ascii="Times New Roman" w:eastAsia="Times New Roman" w:hAnsi="Times New Roman" w:cs="Times New Roman"/>
        </w:rPr>
        <w:t>399</w:t>
      </w:r>
      <w:r>
        <w:rPr>
          <w:rFonts w:ascii="SimSun" w:eastAsia="SimSun" w:hAnsi="SimSun" w:cs="SimSun"/>
        </w:rPr>
        <w:t>号）上学，联合培养录取学生按照联合培养学校与学生签订的协议执行。其他专业新生在天津理工大学（天津市西青区宾水西道</w:t>
      </w:r>
      <w:r>
        <w:rPr>
          <w:rFonts w:ascii="Times New Roman" w:eastAsia="Times New Roman" w:hAnsi="Times New Roman" w:cs="Times New Roman"/>
        </w:rPr>
        <w:t>391</w:t>
      </w:r>
      <w:r>
        <w:rPr>
          <w:rFonts w:ascii="SimSun" w:eastAsia="SimSun" w:hAnsi="SimSun" w:cs="SimSun"/>
        </w:rPr>
        <w:t>号）上学。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本章程适用于依据上级主管部门下达的招生计划进行的本年度普通本科招生工作。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本章程自公布之日起开始执行，学校以往有关招生工作的政策、规定凡与本章程不一致的，一律废止，以本章程为准。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本章程公布后，如遇部分省份高考招生政策调整，天津理工大学将制定相应的录取政策并另行公布。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本章程由天津理工大学招生工作办公室负责解释。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学校地址：天津市西青区宾水西道</w:t>
      </w:r>
      <w:r>
        <w:rPr>
          <w:rFonts w:ascii="Times New Roman" w:eastAsia="Times New Roman" w:hAnsi="Times New Roman" w:cs="Times New Roman"/>
        </w:rPr>
        <w:t>391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022-60216795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022-60215041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http://zsb.tjut.edu.cn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zsb@tjut.edu.cn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中国民航大学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57.html" TargetMode="External" /><Relationship Id="rId5" Type="http://schemas.openxmlformats.org/officeDocument/2006/relationships/hyperlink" Target="http://www.gk114.com/a/gxzs/zszc/tianjin/2022/0529/2255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