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天津石油职业技术学院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第一条：根据《中华人民共和国教育法》、《中华人民共和国高等教育法》等相关法律法规的有关规定，为了维护学院和考生的合法权益，依法招生，结合学院招生工作实际，制定本章程。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第二条：本章程是社会了解学院有关招生政策、规定及相关信息的主要渠道，是学院开展招生咨询和录取工作的主要依据。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一、学院名称：天津石油职业技术学院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四、学院代码：</w:t>
      </w:r>
      <w:r>
        <w:rPr>
          <w:rFonts w:ascii="Times New Roman" w:eastAsia="Times New Roman" w:hAnsi="Times New Roman" w:cs="Times New Roman"/>
        </w:rPr>
        <w:t xml:space="preserve">13701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五、学院地址：天津市团泊洼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六、学院基本概况：学院是天津市政府批准、教育部备案的全日制公办普通高等职业技术学院，属天津市市级示范院校，天津市国内一流院校建设单位。学院占地</w:t>
      </w:r>
      <w:r>
        <w:rPr>
          <w:rFonts w:ascii="Times New Roman" w:eastAsia="Times New Roman" w:hAnsi="Times New Roman" w:cs="Times New Roman"/>
        </w:rPr>
        <w:t>1447</w:t>
      </w:r>
      <w:r>
        <w:rPr>
          <w:rFonts w:ascii="SimSun" w:eastAsia="SimSun" w:hAnsi="SimSun" w:cs="SimSun"/>
        </w:rPr>
        <w:t>亩，建筑面积</w:t>
      </w:r>
      <w:r>
        <w:rPr>
          <w:rFonts w:ascii="Times New Roman" w:eastAsia="Times New Roman" w:hAnsi="Times New Roman" w:cs="Times New Roman"/>
        </w:rPr>
        <w:t>25</w:t>
      </w:r>
      <w:r>
        <w:rPr>
          <w:rFonts w:ascii="SimSun" w:eastAsia="SimSun" w:hAnsi="SimSun" w:cs="SimSun"/>
        </w:rPr>
        <w:t>万平方米。学院开设有石油工程技术、石油化工技术、电气自动化技术、工程造价等二十一个专业。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学院坚持社会主义办学方向，将立德树人作为根本任务；坚持</w:t>
      </w:r>
      <w:r>
        <w:rPr>
          <w:rFonts w:ascii="Times New Roman" w:eastAsia="Times New Roman" w:hAnsi="Times New Roman" w:cs="Times New Roman"/>
        </w:rPr>
        <w:t>“</w:t>
      </w:r>
      <w:r>
        <w:rPr>
          <w:rFonts w:ascii="SimSun" w:eastAsia="SimSun" w:hAnsi="SimSun" w:cs="SimSun"/>
        </w:rPr>
        <w:t>以大庆精神办学，以铁人精神育人</w:t>
      </w:r>
      <w:r>
        <w:rPr>
          <w:rFonts w:ascii="Times New Roman" w:eastAsia="Times New Roman" w:hAnsi="Times New Roman" w:cs="Times New Roman"/>
        </w:rPr>
        <w:t>”</w:t>
      </w:r>
      <w:r>
        <w:rPr>
          <w:rFonts w:ascii="SimSun" w:eastAsia="SimSun" w:hAnsi="SimSun" w:cs="SimSun"/>
        </w:rPr>
        <w:t>理念；学院坚持</w:t>
      </w:r>
      <w:r>
        <w:rPr>
          <w:rFonts w:ascii="Times New Roman" w:eastAsia="Times New Roman" w:hAnsi="Times New Roman" w:cs="Times New Roman"/>
        </w:rPr>
        <w:t>“</w:t>
      </w:r>
      <w:r>
        <w:rPr>
          <w:rFonts w:ascii="SimSun" w:eastAsia="SimSun" w:hAnsi="SimSun" w:cs="SimSun"/>
        </w:rPr>
        <w:t>立足油田，面向社会，贴近经济，服务企业</w:t>
      </w:r>
      <w:r>
        <w:rPr>
          <w:rFonts w:ascii="Times New Roman" w:eastAsia="Times New Roman" w:hAnsi="Times New Roman" w:cs="Times New Roman"/>
        </w:rPr>
        <w:t>”</w:t>
      </w:r>
      <w:r>
        <w:rPr>
          <w:rFonts w:ascii="SimSun" w:eastAsia="SimSun" w:hAnsi="SimSun" w:cs="SimSun"/>
        </w:rPr>
        <w:t>的办学定位。多年来，学院持续推进教育教学改革，国际交流与对外合作办学逐步深入，专业建设水平显著提升，石油类专业</w:t>
      </w:r>
      <w:r>
        <w:rPr>
          <w:rFonts w:ascii="Times New Roman" w:eastAsia="Times New Roman" w:hAnsi="Times New Roman" w:cs="Times New Roman"/>
        </w:rPr>
        <w:t>“</w:t>
      </w:r>
      <w:r>
        <w:rPr>
          <w:rFonts w:ascii="SimSun" w:eastAsia="SimSun" w:hAnsi="SimSun" w:cs="SimSun"/>
        </w:rPr>
        <w:t>工学交替、分段递升</w:t>
      </w:r>
      <w:r>
        <w:rPr>
          <w:rFonts w:ascii="Times New Roman" w:eastAsia="Times New Roman" w:hAnsi="Times New Roman" w:cs="Times New Roman"/>
        </w:rPr>
        <w:t>”</w:t>
      </w:r>
      <w:r>
        <w:rPr>
          <w:rFonts w:ascii="SimSun" w:eastAsia="SimSun" w:hAnsi="SimSun" w:cs="SimSun"/>
        </w:rPr>
        <w:t>人才培养模式曾在全国职业教育工作会议上进行经验交流。学院师资力量雄厚，教师队伍结构合理，办学特色鲜明，校企合作成效凸显，现拥有长期稳定的专业校外实习基地</w:t>
      </w:r>
      <w:r>
        <w:rPr>
          <w:rFonts w:ascii="Times New Roman" w:eastAsia="Times New Roman" w:hAnsi="Times New Roman" w:cs="Times New Roman"/>
        </w:rPr>
        <w:t>52</w:t>
      </w:r>
      <w:r>
        <w:rPr>
          <w:rFonts w:ascii="SimSun" w:eastAsia="SimSun" w:hAnsi="SimSun" w:cs="SimSun"/>
        </w:rPr>
        <w:t>个，建有石油工程、数控技术、汽车技术、焊接技术等国家级校内实训基地</w:t>
      </w:r>
      <w:r>
        <w:rPr>
          <w:rFonts w:ascii="Times New Roman" w:eastAsia="Times New Roman" w:hAnsi="Times New Roman" w:cs="Times New Roman"/>
        </w:rPr>
        <w:t>4</w:t>
      </w:r>
      <w:r>
        <w:rPr>
          <w:rFonts w:ascii="SimSun" w:eastAsia="SimSun" w:hAnsi="SimSun" w:cs="SimSun"/>
        </w:rPr>
        <w:t>个。学院被天津市政府命名为</w:t>
      </w:r>
      <w:r>
        <w:rPr>
          <w:rFonts w:ascii="Times New Roman" w:eastAsia="Times New Roman" w:hAnsi="Times New Roman" w:cs="Times New Roman"/>
        </w:rPr>
        <w:t>“</w:t>
      </w:r>
      <w:r>
        <w:rPr>
          <w:rFonts w:ascii="SimSun" w:eastAsia="SimSun" w:hAnsi="SimSun" w:cs="SimSun"/>
        </w:rPr>
        <w:t>天津市高技能人才培养基地</w:t>
      </w:r>
      <w:r>
        <w:rPr>
          <w:rFonts w:ascii="Times New Roman" w:eastAsia="Times New Roman" w:hAnsi="Times New Roman" w:cs="Times New Roman"/>
        </w:rPr>
        <w:t>”</w:t>
      </w:r>
      <w:r>
        <w:rPr>
          <w:rFonts w:ascii="SimSun" w:eastAsia="SimSun" w:hAnsi="SimSun" w:cs="SimSun"/>
        </w:rPr>
        <w:t>，建有天津市国家职业技能鉴定所第</w:t>
      </w:r>
      <w:r>
        <w:rPr>
          <w:rFonts w:ascii="Times New Roman" w:eastAsia="Times New Roman" w:hAnsi="Times New Roman" w:cs="Times New Roman"/>
        </w:rPr>
        <w:t>62</w:t>
      </w:r>
      <w:r>
        <w:rPr>
          <w:rFonts w:ascii="SimSun" w:eastAsia="SimSun" w:hAnsi="SimSun" w:cs="SimSun"/>
        </w:rPr>
        <w:t>所，国家特有工种职业鉴定站第</w:t>
      </w:r>
      <w:r>
        <w:rPr>
          <w:rFonts w:ascii="Times New Roman" w:eastAsia="Times New Roman" w:hAnsi="Times New Roman" w:cs="Times New Roman"/>
        </w:rPr>
        <w:t>72</w:t>
      </w:r>
      <w:r>
        <w:rPr>
          <w:rFonts w:ascii="SimSun" w:eastAsia="SimSun" w:hAnsi="SimSun" w:cs="SimSun"/>
        </w:rPr>
        <w:t>站，被中石油命名为</w:t>
      </w:r>
      <w:r>
        <w:rPr>
          <w:rFonts w:ascii="Times New Roman" w:eastAsia="Times New Roman" w:hAnsi="Times New Roman" w:cs="Times New Roman"/>
        </w:rPr>
        <w:t>“</w:t>
      </w:r>
      <w:r>
        <w:rPr>
          <w:rFonts w:ascii="SimSun" w:eastAsia="SimSun" w:hAnsi="SimSun" w:cs="SimSun"/>
        </w:rPr>
        <w:t>集团公司及企业直属培训基地</w:t>
      </w:r>
      <w:r>
        <w:rPr>
          <w:rFonts w:ascii="Times New Roman" w:eastAsia="Times New Roman" w:hAnsi="Times New Roman" w:cs="Times New Roman"/>
        </w:rPr>
        <w:t>”</w:t>
      </w:r>
      <w:r>
        <w:rPr>
          <w:rFonts w:ascii="SimSun" w:eastAsia="SimSun" w:hAnsi="SimSun" w:cs="SimSun"/>
        </w:rPr>
        <w:t>。学院办学规模</w:t>
      </w:r>
      <w:r>
        <w:rPr>
          <w:rFonts w:ascii="Times New Roman" w:eastAsia="Times New Roman" w:hAnsi="Times New Roman" w:cs="Times New Roman"/>
        </w:rPr>
        <w:t>6000</w:t>
      </w:r>
      <w:r>
        <w:rPr>
          <w:rFonts w:ascii="SimSun" w:eastAsia="SimSun" w:hAnsi="SimSun" w:cs="SimSun"/>
        </w:rPr>
        <w:t>人，学院培养的</w:t>
      </w:r>
      <w:r>
        <w:rPr>
          <w:rFonts w:ascii="Times New Roman" w:eastAsia="Times New Roman" w:hAnsi="Times New Roman" w:cs="Times New Roman"/>
        </w:rPr>
        <w:t>37000</w:t>
      </w:r>
      <w:r>
        <w:rPr>
          <w:rFonts w:ascii="SimSun" w:eastAsia="SimSun" w:hAnsi="SimSun" w:cs="SimSun"/>
        </w:rPr>
        <w:t>多名合格毕业生绝大多数已经成为各单位的骨干力量，很多人已走上各级领导岗位。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第二章招生及纪检监察机构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院设招生工作委员会，全面负责学院招生工作，制定招生政策、招生计划，决定有关招生的重大事宜。招生工作委员会下设录取监察组，负责对录取工作实施监督检查，保护考生和招生工作人员的合法权益，查处违纪事件，接待来信来访，受理群众举报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第五条：学院设招生就业处，是组织和实施招生工作的常设机构，负责招生的日常工作。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第三章招生计划、要求及收费标准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第六条：学院根据发展规划、办学条件、学科发展、生源状况和社会需求，制定</w:t>
      </w:r>
      <w:r>
        <w:rPr>
          <w:rFonts w:ascii="Times New Roman" w:eastAsia="Times New Roman" w:hAnsi="Times New Roman" w:cs="Times New Roman"/>
        </w:rPr>
        <w:t>2019</w:t>
      </w:r>
      <w:r>
        <w:rPr>
          <w:rFonts w:ascii="SimSun" w:eastAsia="SimSun" w:hAnsi="SimSun" w:cs="SimSun"/>
        </w:rPr>
        <w:t>年面向全国的分省分专业招生计划，并按照教育部核准下达的具体招生专业、招生人数、在规定时间内寄送到各省、自治区、直辖市招生委员会，向社会公布，同时还将通过不同渠道向社会公布。在招生录取过程中，经学院招生工作委员会同意，并报上级主管部门审批，对生源好、志愿足、录取分数高的省、自治区、直辖市的招生计划作适当调整。分省招生计划详见考生所在省、自治区、直辖市</w:t>
      </w:r>
      <w:r>
        <w:rPr>
          <w:rFonts w:ascii="Times New Roman" w:eastAsia="Times New Roman" w:hAnsi="Times New Roman" w:cs="Times New Roman"/>
        </w:rPr>
        <w:t>2019</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第七条：学费标准：高职普通类专业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年，特殊类专业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年。住宿标准为六人间，费用为</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年。各专业收费标准详见省、自治区、直辖市招生委员会公布的招生计划表或学院下发的</w:t>
      </w:r>
      <w:r>
        <w:rPr>
          <w:rFonts w:ascii="Times New Roman" w:eastAsia="Times New Roman" w:hAnsi="Times New Roman" w:cs="Times New Roman"/>
        </w:rPr>
        <w:t>2019</w:t>
      </w:r>
      <w:r>
        <w:rPr>
          <w:rFonts w:ascii="SimSun" w:eastAsia="SimSun" w:hAnsi="SimSun" w:cs="SimSun"/>
        </w:rPr>
        <w:t>年新生入学指南。如政府对当年度收费标准进行调整，以政府规定的标准为准。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院招生录取工作遵循公平竞争、公正选拔、公开程序的原则；执行教育部和各省、自治区、直辖市招生委员会制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实行顺序志愿省份，录取以志愿优先为原则，即按考生填报的院校志愿顺序，从高分到低分录取第一志愿报考学院的考生，只有当各省、自治区、直辖市公布的同批次最低控制线上第一志愿报考学院的人数少于招生计划时，才录取第二志愿报考学院的考生，依次类推。实行平行志愿省份，录取以所在地省级招生主管部门规定的录取规则为准。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做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在同等条件下，优先录取获得省级优秀学生、优秀学生干部、三好学生等荣誉称号以及英语、数学单科分数较高的考生。如考生省份有相关规定，执行该省份要求。江苏考生如投档分数相同，优先录取学业水平测试科目等级排序较高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对天津市考生，依据教育部和天津市教育招生考试院有关招生工作的文件精神，本着公平、公正、公开的原则，以高考语文、数学、外语成绩为基础，参照高中学业水平考试成绩和综合素质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安排专业时，在高考分数相同的条件下，可优先安排普通高中学业水平考试成绩较佳的考生，如普通高中学业水平考试成绩相同，则可依据综合素质评价结果安排专业。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退档处理时，在高考分数相同的条件下，可先对普通高中学业水平考试成绩较差的考生做出退档处理，如普通高中学业水平考试成绩相同，则可依据综合素质评价结果做出退档处理。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B</w:t>
      </w:r>
      <w:r>
        <w:rPr>
          <w:rFonts w:ascii="SimSun" w:eastAsia="SimSun" w:hAnsi="SimSun" w:cs="SimSun"/>
        </w:rPr>
        <w:t>等第的个数，以此类推。评价考生的综合素质时，依据考生的学业类和非学业类两方面情况综合比较，进行评价。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依照教育部、卫生部、中国残疾人联合会颁布的《普通高等学院招生体检工作指导意见》，对考生身体健康状况进行审查和复查。对不符合标准的，按《普通高等学院招生体检工作指导意见》的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第十五条：各专业公共外语课程均为英语，小语种考生慎重填报。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第十六条：学院在接到各省、自治区、直辖市招办核准备案的录取考生名单后寄发录取通知书，录取通知书以特快专递的方式寄出。录取结果在学院网站进行公布。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按国家招生规定录取的新生，持录取通知书，按学院有关要求和规定的期限到校办理入学手续。因故不能按期入学的，应当向学院招生就业处或学生处请假，未请假或请假逾期的，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第十八条：学院在报到时对新生入学资格进行初步审查，审查合格的办理入学手续，予以注册学籍；复查中发现学生存在弄虚作假、徇私舞弊等情形的，确定为复查不合格，应当取消学籍。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新生入学按录取专业注册学籍。学生在学习期间对其他专业有兴趣和专长的，可以申请转专业。以特殊招生形式录取的学生，国家有相关规定或者录取前与学院有明确约定的，不得转专业。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学院本着公平公正的标准和程序，制定有关学生转专业的具体办法，公示制度健全。学院根据社会对人才需求情况的发展变化，需要适当调整专业的，允许在读学生转到其他相关专业就读。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休学创业或退役后复学的学生，因自身情况需要转专业的，学校优先考虑。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在新生入学第一学期结束之前可以集中申请转专业一次，在教学资源允许的情况下，学院择优为部分学生办理转专业手续。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第十九条：新生入学后，学院依据《天津石油职业技术学院学生管理规定》进行管理，按人才培养方案对学生进行培养。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第二十条：学院学生按规定可享有国家、天津市政府和学院等多种形式奖助学金，学院设有勤工助学岗。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第二十一条：学生完成规定的学业经审查达到毕业标准、经鉴定合格，颁发天津石油职业技术学院全日制普通高等学校专科毕业证书和相应国家职业资格证书。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第二十二条：本章程仅适用于</w:t>
      </w:r>
      <w:r>
        <w:rPr>
          <w:rFonts w:ascii="Times New Roman" w:eastAsia="Times New Roman" w:hAnsi="Times New Roman" w:cs="Times New Roman"/>
        </w:rPr>
        <w:t>2019</w:t>
      </w:r>
      <w:r>
        <w:rPr>
          <w:rFonts w:ascii="SimSun" w:eastAsia="SimSun" w:hAnsi="SimSun" w:cs="SimSun"/>
        </w:rPr>
        <w:t>年学院普通高职招生工作。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第二十三条：本章程经学院招生工作委员会审查通过，报上级主管部门审核。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第二十四条：本章程自公布之日起开始执行。以前天津石油职业技术学院有关招生工作的政策、规定与本章程不一致的，均以本章程为准。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第二十六条：本章程由天津石油职业技术学院招生就业处负责解释。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www.tjsyxy.com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 tjsyxyzb@126.com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招生微博：</w:t>
      </w:r>
      <w:r>
        <w:rPr>
          <w:rFonts w:ascii="Times New Roman" w:eastAsia="Times New Roman" w:hAnsi="Times New Roman" w:cs="Times New Roman"/>
        </w:rPr>
        <w:t xml:space="preserve">http//t.qq.com/tjsyxyzsb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022-29000588</w:t>
      </w:r>
      <w:r>
        <w:rPr>
          <w:rFonts w:ascii="SimSun" w:eastAsia="SimSun" w:hAnsi="SimSun" w:cs="SimSun"/>
        </w:rPr>
        <w:t>、</w:t>
      </w:r>
      <w:r>
        <w:rPr>
          <w:rFonts w:ascii="Times New Roman" w:eastAsia="Times New Roman" w:hAnsi="Times New Roman" w:cs="Times New Roman"/>
        </w:rPr>
        <w:t xml:space="preserve">29000650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纪检监察：</w:t>
      </w:r>
      <w:r>
        <w:rPr>
          <w:rFonts w:ascii="Times New Roman" w:eastAsia="Times New Roman" w:hAnsi="Times New Roman" w:cs="Times New Roman"/>
        </w:rPr>
        <w:t xml:space="preserve">022-29000254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学生处：</w:t>
      </w:r>
      <w:r>
        <w:rPr>
          <w:rFonts w:ascii="Times New Roman" w:eastAsia="Times New Roman" w:hAnsi="Times New Roman" w:cs="Times New Roman"/>
        </w:rPr>
        <w:t xml:space="preserve">022-29000459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301607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地址：天津市团泊洼</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南开大学滨海学院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20.html" TargetMode="External" /><Relationship Id="rId5" Type="http://schemas.openxmlformats.org/officeDocument/2006/relationships/hyperlink" Target="http://www.gk114.com/a/gxzs/zszc/tianjin/2019/0610/962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