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天津科技大学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依据《中华人民共和国教育法》《中华人民共和国高等教育法》等相关法律法规及教育部相关文件精神，为维护学校和考生的合法权益，依法依规招生，结合学校实际，制定本章程。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本章程是学校公布有关招生政策、规定及相关信息的主要方式，是学校开展普通本科招生录取工作的重要依据。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本章程经上级主管部门审核后公布，主动接受有关省（区、市）招生主管部门的指导和社会的监督。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学校性质及概况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学校名称：天津科技大学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学校代码：</w:t>
      </w:r>
      <w:r>
        <w:rPr>
          <w:rFonts w:ascii="Times New Roman" w:eastAsia="Times New Roman" w:hAnsi="Times New Roman" w:cs="Times New Roman"/>
        </w:rPr>
        <w:t xml:space="preserve">10057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滨海校区：天津市滨海新区经济技术开发区第十三大街</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河西校区：天津市河西区大沽南路</w:t>
      </w:r>
      <w:r>
        <w:rPr>
          <w:rFonts w:ascii="Times New Roman" w:eastAsia="Times New Roman" w:hAnsi="Times New Roman" w:cs="Times New Roman"/>
        </w:rPr>
        <w:t>1038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天津科技大学始建于</w:t>
      </w:r>
      <w:r>
        <w:rPr>
          <w:rFonts w:ascii="Times New Roman" w:eastAsia="Times New Roman" w:hAnsi="Times New Roman" w:cs="Times New Roman"/>
        </w:rPr>
        <w:t>1958</w:t>
      </w:r>
      <w:r>
        <w:rPr>
          <w:rFonts w:ascii="SimSun" w:eastAsia="SimSun" w:hAnsi="SimSun" w:cs="SimSun"/>
        </w:rPr>
        <w:t>年，是我国第一批</w:t>
      </w:r>
      <w:r>
        <w:rPr>
          <w:rFonts w:ascii="Times New Roman" w:eastAsia="Times New Roman" w:hAnsi="Times New Roman" w:cs="Times New Roman"/>
        </w:rPr>
        <w:t>4</w:t>
      </w:r>
      <w:r>
        <w:rPr>
          <w:rFonts w:ascii="SimSun" w:eastAsia="SimSun" w:hAnsi="SimSun" w:cs="SimSun"/>
        </w:rPr>
        <w:t>所轻工类本科院校之一，曾隶属原轻工业部，为中央和地方共建、天津市重点建设高校。学校入选国家高等学校学科创新引智计划、教育部</w:t>
      </w:r>
      <w:r>
        <w:rPr>
          <w:rFonts w:ascii="Times New Roman" w:eastAsia="Times New Roman" w:hAnsi="Times New Roman" w:cs="Times New Roman"/>
        </w:rPr>
        <w:t>“</w:t>
      </w:r>
      <w:r>
        <w:rPr>
          <w:rFonts w:ascii="SimSun" w:eastAsia="SimSun" w:hAnsi="SimSun" w:cs="SimSun"/>
        </w:rPr>
        <w:t>卓越工程师教育培养计划</w:t>
      </w:r>
      <w:r>
        <w:rPr>
          <w:rFonts w:ascii="Times New Roman" w:eastAsia="Times New Roman" w:hAnsi="Times New Roman" w:cs="Times New Roman"/>
        </w:rPr>
        <w:t>”</w:t>
      </w:r>
      <w:r>
        <w:rPr>
          <w:rFonts w:ascii="SimSun" w:eastAsia="SimSun" w:hAnsi="SimSun" w:cs="SimSun"/>
        </w:rPr>
        <w:t>、天津市</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建设高校名单，是天津市滨海新区唯一一所拥有本硕博完整教育体系的大学。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学校现有滨海、河西</w:t>
      </w:r>
      <w:r>
        <w:rPr>
          <w:rFonts w:ascii="Times New Roman" w:eastAsia="Times New Roman" w:hAnsi="Times New Roman" w:cs="Times New Roman"/>
        </w:rPr>
        <w:t>2</w:t>
      </w:r>
      <w:r>
        <w:rPr>
          <w:rFonts w:ascii="SimSun" w:eastAsia="SimSun" w:hAnsi="SimSun" w:cs="SimSun"/>
        </w:rPr>
        <w:t>个校区，总占地面积约</w:t>
      </w:r>
      <w:r>
        <w:rPr>
          <w:rFonts w:ascii="Times New Roman" w:eastAsia="Times New Roman" w:hAnsi="Times New Roman" w:cs="Times New Roman"/>
        </w:rPr>
        <w:t>2300</w:t>
      </w:r>
      <w:r>
        <w:rPr>
          <w:rFonts w:ascii="SimSun" w:eastAsia="SimSun" w:hAnsi="SimSun" w:cs="SimSun"/>
        </w:rPr>
        <w:t>亩，总建筑面积约</w:t>
      </w:r>
      <w:r>
        <w:rPr>
          <w:rFonts w:ascii="Times New Roman" w:eastAsia="Times New Roman" w:hAnsi="Times New Roman" w:cs="Times New Roman"/>
        </w:rPr>
        <w:t>90</w:t>
      </w:r>
      <w:r>
        <w:rPr>
          <w:rFonts w:ascii="SimSun" w:eastAsia="SimSun" w:hAnsi="SimSun" w:cs="SimSun"/>
        </w:rPr>
        <w:t>万平方米，设有</w:t>
      </w:r>
      <w:r>
        <w:rPr>
          <w:rFonts w:ascii="Times New Roman" w:eastAsia="Times New Roman" w:hAnsi="Times New Roman" w:cs="Times New Roman"/>
        </w:rPr>
        <w:t>15</w:t>
      </w:r>
      <w:r>
        <w:rPr>
          <w:rFonts w:ascii="SimSun" w:eastAsia="SimSun" w:hAnsi="SimSun" w:cs="SimSun"/>
        </w:rPr>
        <w:t>个学院（部），现有本硕博全日制在校生</w:t>
      </w:r>
      <w:r>
        <w:rPr>
          <w:rFonts w:ascii="Times New Roman" w:eastAsia="Times New Roman" w:hAnsi="Times New Roman" w:cs="Times New Roman"/>
        </w:rPr>
        <w:t>2.6</w:t>
      </w:r>
      <w:r>
        <w:rPr>
          <w:rFonts w:ascii="SimSun" w:eastAsia="SimSun" w:hAnsi="SimSun" w:cs="SimSun"/>
        </w:rPr>
        <w:t>万余人、教职工</w:t>
      </w:r>
      <w:r>
        <w:rPr>
          <w:rFonts w:ascii="Times New Roman" w:eastAsia="Times New Roman" w:hAnsi="Times New Roman" w:cs="Times New Roman"/>
        </w:rPr>
        <w:t>2000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学校地处渤海之滨、海河之畔，地理位置优越。其中，滨海校区坐落于天津双城之一的</w:t>
      </w:r>
      <w:r>
        <w:rPr>
          <w:rFonts w:ascii="Times New Roman" w:eastAsia="Times New Roman" w:hAnsi="Times New Roman" w:cs="Times New Roman"/>
        </w:rPr>
        <w:t>“</w:t>
      </w:r>
      <w:r>
        <w:rPr>
          <w:rFonts w:ascii="SimSun" w:eastAsia="SimSun" w:hAnsi="SimSun" w:cs="SimSun"/>
        </w:rPr>
        <w:t>滨城</w:t>
      </w:r>
      <w:r>
        <w:rPr>
          <w:rFonts w:ascii="Times New Roman" w:eastAsia="Times New Roman" w:hAnsi="Times New Roman" w:cs="Times New Roman"/>
        </w:rPr>
        <w:t>”——</w:t>
      </w:r>
      <w:r>
        <w:rPr>
          <w:rFonts w:ascii="SimSun" w:eastAsia="SimSun" w:hAnsi="SimSun" w:cs="SimSun"/>
        </w:rPr>
        <w:t>滨海新区，邻近滨海</w:t>
      </w:r>
      <w:r>
        <w:rPr>
          <w:rFonts w:ascii="Times New Roman" w:eastAsia="Times New Roman" w:hAnsi="Times New Roman" w:cs="Times New Roman"/>
        </w:rPr>
        <w:t>—</w:t>
      </w:r>
      <w:r>
        <w:rPr>
          <w:rFonts w:ascii="SimSun" w:eastAsia="SimSun" w:hAnsi="SimSun" w:cs="SimSun"/>
        </w:rPr>
        <w:t>中关村科技园、中新生态城、国家海洋博物馆、泰达航母主题公园、塘沽森林公园等；河西校区位于天津城市副中心之一的海河柳林地区，邻近天津文化中心、国际设计中心、国家会展中心、滨海国际机场、海河教育园区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学校学科专业实力雄厚。建有</w:t>
      </w:r>
      <w:r>
        <w:rPr>
          <w:rFonts w:ascii="Times New Roman" w:eastAsia="Times New Roman" w:hAnsi="Times New Roman" w:cs="Times New Roman"/>
        </w:rPr>
        <w:t>“</w:t>
      </w:r>
      <w:r>
        <w:rPr>
          <w:rFonts w:ascii="SimSun" w:eastAsia="SimSun" w:hAnsi="SimSun" w:cs="SimSun"/>
        </w:rPr>
        <w:t>发酵工程</w:t>
      </w:r>
      <w:r>
        <w:rPr>
          <w:rFonts w:ascii="Times New Roman" w:eastAsia="Times New Roman" w:hAnsi="Times New Roman" w:cs="Times New Roman"/>
        </w:rPr>
        <w:t>”</w:t>
      </w:r>
      <w:r>
        <w:rPr>
          <w:rFonts w:ascii="SimSun" w:eastAsia="SimSun" w:hAnsi="SimSun" w:cs="SimSun"/>
        </w:rPr>
        <w:t>国家重点学科，拥有一级学科博士点</w:t>
      </w:r>
      <w:r>
        <w:rPr>
          <w:rFonts w:ascii="Times New Roman" w:eastAsia="Times New Roman" w:hAnsi="Times New Roman" w:cs="Times New Roman"/>
        </w:rPr>
        <w:t>4</w:t>
      </w:r>
      <w:r>
        <w:rPr>
          <w:rFonts w:ascii="SimSun" w:eastAsia="SimSun" w:hAnsi="SimSun" w:cs="SimSun"/>
        </w:rPr>
        <w:t>个、专业学位博士点</w:t>
      </w:r>
      <w:r>
        <w:rPr>
          <w:rFonts w:ascii="Times New Roman" w:eastAsia="Times New Roman" w:hAnsi="Times New Roman" w:cs="Times New Roman"/>
        </w:rPr>
        <w:t>1</w:t>
      </w:r>
      <w:r>
        <w:rPr>
          <w:rFonts w:ascii="SimSun" w:eastAsia="SimSun" w:hAnsi="SimSun" w:cs="SimSun"/>
        </w:rPr>
        <w:t>个、一级学科硕士点</w:t>
      </w:r>
      <w:r>
        <w:rPr>
          <w:rFonts w:ascii="Times New Roman" w:eastAsia="Times New Roman" w:hAnsi="Times New Roman" w:cs="Times New Roman"/>
        </w:rPr>
        <w:t>20</w:t>
      </w:r>
      <w:r>
        <w:rPr>
          <w:rFonts w:ascii="SimSun" w:eastAsia="SimSun" w:hAnsi="SimSun" w:cs="SimSun"/>
        </w:rPr>
        <w:t>个、硕士专业学位授权类别</w:t>
      </w:r>
      <w:r>
        <w:rPr>
          <w:rFonts w:ascii="Times New Roman" w:eastAsia="Times New Roman" w:hAnsi="Times New Roman" w:cs="Times New Roman"/>
        </w:rPr>
        <w:t>12</w:t>
      </w:r>
      <w:r>
        <w:rPr>
          <w:rFonts w:ascii="SimSun" w:eastAsia="SimSun" w:hAnsi="SimSun" w:cs="SimSun"/>
        </w:rPr>
        <w:t>个。现有本科招生专业</w:t>
      </w:r>
      <w:r>
        <w:rPr>
          <w:rFonts w:ascii="Times New Roman" w:eastAsia="Times New Roman" w:hAnsi="Times New Roman" w:cs="Times New Roman"/>
        </w:rPr>
        <w:t>57</w:t>
      </w:r>
      <w:r>
        <w:rPr>
          <w:rFonts w:ascii="SimSun" w:eastAsia="SimSun" w:hAnsi="SimSun" w:cs="SimSun"/>
        </w:rPr>
        <w:t>个，另有本科中外合作办学项目</w:t>
      </w:r>
      <w:r>
        <w:rPr>
          <w:rFonts w:ascii="Times New Roman" w:eastAsia="Times New Roman" w:hAnsi="Times New Roman" w:cs="Times New Roman"/>
        </w:rPr>
        <w:t>3</w:t>
      </w:r>
      <w:r>
        <w:rPr>
          <w:rFonts w:ascii="SimSun" w:eastAsia="SimSun" w:hAnsi="SimSun" w:cs="SimSun"/>
        </w:rPr>
        <w:t>个，其中入选国家级和省部级一流本科专业建设点</w:t>
      </w:r>
      <w:r>
        <w:rPr>
          <w:rFonts w:ascii="Times New Roman" w:eastAsia="Times New Roman" w:hAnsi="Times New Roman" w:cs="Times New Roman"/>
        </w:rPr>
        <w:t>23</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学校办学条件优良。现有双聘院士</w:t>
      </w:r>
      <w:r>
        <w:rPr>
          <w:rFonts w:ascii="Times New Roman" w:eastAsia="Times New Roman" w:hAnsi="Times New Roman" w:cs="Times New Roman"/>
        </w:rPr>
        <w:t>5</w:t>
      </w:r>
      <w:r>
        <w:rPr>
          <w:rFonts w:ascii="SimSun" w:eastAsia="SimSun" w:hAnsi="SimSun" w:cs="SimSun"/>
        </w:rPr>
        <w:t>名、国家级和省部级人才近百人。拥有国家重点实验室、国家级虚拟仿真实验教学中心等一批高水平教学科研平台和实习实践基地。建有国家级众创空间、教育部</w:t>
      </w:r>
      <w:r>
        <w:rPr>
          <w:rFonts w:ascii="Times New Roman" w:eastAsia="Times New Roman" w:hAnsi="Times New Roman" w:cs="Times New Roman"/>
        </w:rPr>
        <w:t>“</w:t>
      </w:r>
      <w:r>
        <w:rPr>
          <w:rFonts w:ascii="SimSun" w:eastAsia="SimSun" w:hAnsi="SimSun" w:cs="SimSun"/>
        </w:rPr>
        <w:t>中美青年创客交流中心</w:t>
      </w:r>
      <w:r>
        <w:rPr>
          <w:rFonts w:ascii="Times New Roman" w:eastAsia="Times New Roman" w:hAnsi="Times New Roman" w:cs="Times New Roman"/>
        </w:rPr>
        <w:t>”</w:t>
      </w:r>
      <w:r>
        <w:rPr>
          <w:rFonts w:ascii="SimSun" w:eastAsia="SimSun" w:hAnsi="SimSun" w:cs="SimSun"/>
        </w:rPr>
        <w:t>等大学生创新创业平台。图书馆馆藏文献</w:t>
      </w:r>
      <w:r>
        <w:rPr>
          <w:rFonts w:ascii="Times New Roman" w:eastAsia="Times New Roman" w:hAnsi="Times New Roman" w:cs="Times New Roman"/>
        </w:rPr>
        <w:t>195</w:t>
      </w:r>
      <w:r>
        <w:rPr>
          <w:rFonts w:ascii="SimSun" w:eastAsia="SimSun" w:hAnsi="SimSun" w:cs="SimSun"/>
        </w:rPr>
        <w:t>万册。拥有总建筑面积</w:t>
      </w:r>
      <w:r>
        <w:rPr>
          <w:rFonts w:ascii="Times New Roman" w:eastAsia="Times New Roman" w:hAnsi="Times New Roman" w:cs="Times New Roman"/>
        </w:rPr>
        <w:t>2.4</w:t>
      </w:r>
      <w:r>
        <w:rPr>
          <w:rFonts w:ascii="SimSun" w:eastAsia="SimSun" w:hAnsi="SimSun" w:cs="SimSun"/>
        </w:rPr>
        <w:t>万平方米、滨海新区唯一的甲级体育场馆。学生宿舍全部装有空调。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教育教学改革走在同类高校前列。在天津市率先启动实施学分制改革，为每一名本科生配备导师，促进学生全面发展和个性化成长。坚持科教融合、产教融合、协同育人，建设有大学科技园、现代产业学院等产学研合作平台。积极实施</w:t>
      </w:r>
      <w:r>
        <w:rPr>
          <w:rFonts w:ascii="Times New Roman" w:eastAsia="Times New Roman" w:hAnsi="Times New Roman" w:cs="Times New Roman"/>
        </w:rPr>
        <w:t>“</w:t>
      </w:r>
      <w:r>
        <w:rPr>
          <w:rFonts w:ascii="SimSun" w:eastAsia="SimSun" w:hAnsi="SimSun" w:cs="SimSun"/>
        </w:rPr>
        <w:t>本硕博</w:t>
      </w:r>
      <w:r>
        <w:rPr>
          <w:rFonts w:ascii="Times New Roman" w:eastAsia="Times New Roman" w:hAnsi="Times New Roman" w:cs="Times New Roman"/>
        </w:rPr>
        <w:t>”</w:t>
      </w:r>
      <w:r>
        <w:rPr>
          <w:rFonts w:ascii="SimSun" w:eastAsia="SimSun" w:hAnsi="SimSun" w:cs="SimSun"/>
        </w:rPr>
        <w:t>人才贯通培养项目。持续加强创新创业教育，学生在国内国际创新创业赛事中屡创佳绩。与美国、英国、加拿大、芬兰等国多所高校签订</w:t>
      </w:r>
      <w:r>
        <w:rPr>
          <w:rFonts w:ascii="Times New Roman" w:eastAsia="Times New Roman" w:hAnsi="Times New Roman" w:cs="Times New Roman"/>
        </w:rPr>
        <w:t>“2+2”“1+2+1”</w:t>
      </w:r>
      <w:r>
        <w:rPr>
          <w:rFonts w:ascii="SimSun" w:eastAsia="SimSun" w:hAnsi="SimSun" w:cs="SimSun"/>
        </w:rPr>
        <w:t>等联合培养人才协议，鼓励支持学生赴国（境）外知名大学游学或深造。就业创业指导服务体系完善，毕业生广受用人单位好评。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学校设立招生委员会，对学校招生工作中的重大事项发挥民主监督和管理作用，为学校招生工作提供咨询意见和建议。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学校设立本科招生工作领导小组，全面负责学校的普通本科招生工作，下设招生工作办公室，具体负责组织和实施本科招生工作。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学校根据教育事业发展规划、办学条件、生源状况和社会需求制订</w:t>
      </w:r>
      <w:r>
        <w:rPr>
          <w:rFonts w:ascii="Times New Roman" w:eastAsia="Times New Roman" w:hAnsi="Times New Roman" w:cs="Times New Roman"/>
        </w:rPr>
        <w:t>2022</w:t>
      </w:r>
      <w:r>
        <w:rPr>
          <w:rFonts w:ascii="SimSun" w:eastAsia="SimSun" w:hAnsi="SimSun" w:cs="SimSun"/>
        </w:rPr>
        <w:t>年面向</w:t>
      </w:r>
      <w:r>
        <w:rPr>
          <w:rFonts w:ascii="Times New Roman" w:eastAsia="Times New Roman" w:hAnsi="Times New Roman" w:cs="Times New Roman"/>
        </w:rPr>
        <w:t>31</w:t>
      </w:r>
      <w:r>
        <w:rPr>
          <w:rFonts w:ascii="SimSun" w:eastAsia="SimSun" w:hAnsi="SimSun" w:cs="SimSun"/>
        </w:rPr>
        <w:t>个省（区、市）的分专业招生计划，并报上级主管部门审核。按照教育部核准下达的具体招生专业、人数，在规定时间内报送各省（区、市）招生主管部门，并由其向考生公布，学校也通过网站、招生简章等多种渠道向社会公布。分省分专业招生规模以有关省级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学校本科招生预留计划不超过本科招生计划总数的</w:t>
      </w:r>
      <w:r>
        <w:rPr>
          <w:rFonts w:ascii="Times New Roman" w:eastAsia="Times New Roman" w:hAnsi="Times New Roman" w:cs="Times New Roman"/>
        </w:rPr>
        <w:t>1%</w:t>
      </w:r>
      <w:r>
        <w:rPr>
          <w:rFonts w:ascii="SimSun" w:eastAsia="SimSun" w:hAnsi="SimSun" w:cs="SimSun"/>
        </w:rPr>
        <w:t>，用于调节各地统考上线生源的不平衡。在录取过程中，坚持集体决议、公开透明原则，根据各省（区、市）的报考生源状况，适当使用。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学校实施学分制收费。学费包括专业学费和学分学费，学费标准遵照《市发展改革委市财政局市教委关于天津科技大学实行学分制收费的通知》（津发改价费</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 xml:space="preserve">535 </w:t>
      </w:r>
      <w:r>
        <w:rPr>
          <w:rFonts w:ascii="SimSun" w:eastAsia="SimSun" w:hAnsi="SimSun" w:cs="SimSun"/>
        </w:rPr>
        <w:t>号）文件执行。学生按学校培养计划正常完成学业（不含辅修、重修及超出毕业最低学分要求多修的学分学费）所缴纳的专业学费和学分学费之和不高于按学年制收费的学费总额。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中外合作办学项目收费：中日合作计算机科学与技术（信息处理）项目</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年；中英合作生物工程（酿造与蒸馏）项目</w:t>
      </w:r>
      <w:r>
        <w:rPr>
          <w:rFonts w:ascii="Times New Roman" w:eastAsia="Times New Roman" w:hAnsi="Times New Roman" w:cs="Times New Roman"/>
        </w:rPr>
        <w:t>24000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年；中澳合作财务管理项目</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住宿费：滨海校区</w:t>
      </w:r>
      <w:r>
        <w:rPr>
          <w:rFonts w:ascii="Times New Roman" w:eastAsia="Times New Roman" w:hAnsi="Times New Roman" w:cs="Times New Roman"/>
        </w:rPr>
        <w:t xml:space="preserve"> 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年；河西校区根据不同公寓不同房间住宿条件，住宿费标准为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年，依据实际安排住宿情况收费。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收费标准如有调整，以天津市价格主管部门批准的收费标准执行。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学校设立各类奖助学金，奖助面超过</w:t>
      </w:r>
      <w:r>
        <w:rPr>
          <w:rFonts w:ascii="Times New Roman" w:eastAsia="Times New Roman" w:hAnsi="Times New Roman" w:cs="Times New Roman"/>
        </w:rPr>
        <w:t>30%</w:t>
      </w:r>
      <w:r>
        <w:rPr>
          <w:rFonts w:ascii="SimSun" w:eastAsia="SimSun" w:hAnsi="SimSun" w:cs="SimSun"/>
        </w:rPr>
        <w:t>。现有国家奖学金、天津市人民政府奖学金、王克昌奖学金和天津科技大学奖学金等十余项专项奖学金，以及企事业和个人赞助的专项奖学金；家庭经济困难学生可申请生源地国家助学贷款，同时可申请国家励志奖学金、国家助学金、勤工助学补助、特殊困难补助以及社会企事业单位和个人设立的多项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依据教育部和有关省（区、市）招生主管部门制订的录取政策和相关规定，按照德智体美劳全面考核，择优录取的原则，在各省（区、市）招生主管部门规定的合格标准内，以考生填报的志愿和高考成绩为主要依据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院校志愿录取执行所在省（区、市）相关政策。对于实行平行志愿投档的省（区、市），学校根据招生计划数和生源情况确定调档比例，调档比例原则上控制在</w:t>
      </w:r>
      <w:r>
        <w:rPr>
          <w:rFonts w:ascii="Times New Roman" w:eastAsia="Times New Roman" w:hAnsi="Times New Roman" w:cs="Times New Roman"/>
        </w:rPr>
        <w:t>105%</w:t>
      </w:r>
      <w:r>
        <w:rPr>
          <w:rFonts w:ascii="SimSun" w:eastAsia="SimSun" w:hAnsi="SimSun" w:cs="SimSun"/>
        </w:rPr>
        <w:t>以内；对于未实施平行志愿投档的省（区、市），学校按照考生填报的院校志愿顺序，优先录取第一志愿报考我校的考生，只有当各省（区、市）的同批录取控制线上第一志愿报考我校的人数少于招生计划数时，才录取第二志愿报考我校的考生，并以此类推，院校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实行高考综合改革的北京、天津、河北、山东等省（区、市）的招生录取工作，按照各省（区、市）公布的改革方案及有关办法执行，需满足我校相应专业或专业组的选考科目要求。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专业志愿录取以投档成绩作为主要依据，以分数优先的原则安排专业（内蒙古自治区除外），专业志愿不设分数级差。考生所报专业志愿均未被录取的情况下，若服从专业调剂，则调剂到其它未录满的专业；若不服从专业调剂，作退档处理。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投档成绩相同时，在非高考改革省（区、市），优先录取相关科目成绩较高的考生（相关科目依次为语文、数学、外语）。实行高考综合改革的北京、天津、河北、山东等省（区、市），按各省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英语专业和翻译专业只招收英语语种考生。除日语专业和中外合作办学计算机科学与技术（信息处理）专业公共外语课程为日语（零起点）外，其余专业公共外语课程均为英语，非英语语种考生慎重填报。中外合作办学财务管理专业和生物工程（酿造与蒸馏）专业对英语学习要求较高，非英语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加分政策按照教育部有关规定执行。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艺术类（设计学类和动画专业）招生执行</w:t>
      </w:r>
      <w:r>
        <w:rPr>
          <w:rFonts w:ascii="Times New Roman" w:eastAsia="Times New Roman" w:hAnsi="Times New Roman" w:cs="Times New Roman"/>
        </w:rPr>
        <w:t>2022</w:t>
      </w:r>
      <w:r>
        <w:rPr>
          <w:rFonts w:ascii="SimSun" w:eastAsia="SimSun" w:hAnsi="SimSun" w:cs="SimSun"/>
        </w:rPr>
        <w:t>年教育部及各省（区、市）艺术类招生相关规定，认可招生省份美术学和设计学类统考成绩，具体计划以各省（区、市）招生主管部门公布的招生计划为准，录取规则详见《天津科技大学</w:t>
      </w:r>
      <w:r>
        <w:rPr>
          <w:rFonts w:ascii="Times New Roman" w:eastAsia="Times New Roman" w:hAnsi="Times New Roman" w:cs="Times New Roman"/>
        </w:rPr>
        <w:t>2022</w:t>
      </w:r>
      <w:r>
        <w:rPr>
          <w:rFonts w:ascii="SimSun" w:eastAsia="SimSun" w:hAnsi="SimSun" w:cs="SimSun"/>
        </w:rPr>
        <w:t>年艺术类（设计学类和动画专业）本科招生简章》。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高水平运动队招生执行</w:t>
      </w:r>
      <w:r>
        <w:rPr>
          <w:rFonts w:ascii="Times New Roman" w:eastAsia="Times New Roman" w:hAnsi="Times New Roman" w:cs="Times New Roman"/>
        </w:rPr>
        <w:t>2022</w:t>
      </w:r>
      <w:r>
        <w:rPr>
          <w:rFonts w:ascii="SimSun" w:eastAsia="SimSun" w:hAnsi="SimSun" w:cs="SimSun"/>
        </w:rPr>
        <w:t>年教育部及各省（区、市）的相关规定，录取规则详见《天津科技大学</w:t>
      </w:r>
      <w:r>
        <w:rPr>
          <w:rFonts w:ascii="Times New Roman" w:eastAsia="Times New Roman" w:hAnsi="Times New Roman" w:cs="Times New Roman"/>
        </w:rPr>
        <w:t>2022</w:t>
      </w:r>
      <w:r>
        <w:rPr>
          <w:rFonts w:ascii="SimSun" w:eastAsia="SimSun" w:hAnsi="SimSun" w:cs="SimSun"/>
        </w:rPr>
        <w:t>年高水平运动队招生简章》。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考生的身体健康要求，依照教育部、卫生部、中国残疾人联合会印发的《普通高等学校招生体检工作指导意见》及有关补充规定执行。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报到与入学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依国家招生规定录取的新生，经各省（区、市）招生主管部门批准后，学校以邮政特快专递形式寄送录取通知书。新生持录取通知书及本人身份证，按学校有关要求和规定日期到归属学院所在校区办理入学手续。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因故不能按期入学者，应当向学校提交书面请假材料，请假时间一般不超过两周。未请假或者请假逾期者，除因不可抗力等正当事由以外，视为放弃入学资格。应征入伍参加中国人民解放军（含中国人民武装警察部队）的新生，须按照学校相关规定，在规定时间内到校办理保留入学资格手续，经学校审核同意后，可保留入学资格至退役后两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报到时，学校对其进行入学资格初步审查，审查合格的办理入学手续，予以注册学籍。学生入学后，学校按照国家规定对其进行复查，复查中发现学生存在弄虚作假、徇私舞弊等情形的，确定为复查不合格，取消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依据《普通高等学校学生管理规定》《天津科技大学学生管理规定》等规章制度进行学生管理。在学校规定的年限内修完培养方案规定的内容并达到毕业要求者准予毕业，颁发天津科技大学全日制普通高等学校毕业证书。对符合《天津科技大学学位授予工作实施细则》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国家有相关规定和以中外合作办学形式、特殊类型招生形式录取的学生，在读期间不允许转专业。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本章程经学校校长办公会议审查通过，并报学校上级主管部门审核。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本章程自发布之日起开始执行。凡与本章程不一致的以往有关本科招生工作的政策、规定，一律废止，均以本章程规定为准。如遇国家或有关省（区、市）高考招生政策调整，学校将做相应修订并依规执行。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在学校招生咨询过程中，咨询工作人员的意见、建议仅作为考生填报志愿的参考，不作为学校录取承诺。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学校在高考综合改革试点省份招生专业（类）对高中学业水平考试的科目要求及学生综合素质评价的使用办法以各省公布为准。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本章程由天津科技大学招生工作办公室负责解释。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考生可以通过学校官方网站获取有关报考信息。有关录取信息可以通过当地招生主管部门提供的查询途径、学校官方网站进行查询。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http://www.tust.edu.cn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联系地址：天津市河西区大沽南路</w:t>
      </w:r>
      <w:r>
        <w:rPr>
          <w:rFonts w:ascii="Times New Roman" w:eastAsia="Times New Roman" w:hAnsi="Times New Roman" w:cs="Times New Roman"/>
        </w:rPr>
        <w:t>1038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022-28113336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zszx@tust.edu.cn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022-60600330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53.html" TargetMode="External" /><Relationship Id="rId5" Type="http://schemas.openxmlformats.org/officeDocument/2006/relationships/hyperlink" Target="http://www.gk114.com/a/gxzs/zszc/tianjin/2022/0529/22555.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