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天津艺术职业学院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根据《中华人民共和国教育法》、《中华人民共和国高等教育法》等相关法律法规，为了维护学校和考生的合法权益，依法招生，结合天津艺术职业学院招生工作实际，制定本章程。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本章程是社会了解天津艺术职业学院有关招生政策、规定及相关信息的主要渠道，是天津艺术职业学院开展招生咨询和录取工作的主要依据。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一、学校名称：天津艺术职业学院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12882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五、学校校址：天津市河东区娄山道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学校历史：天津艺术职业学院成立于</w:t>
      </w:r>
      <w:r>
        <w:rPr>
          <w:rFonts w:ascii="Times New Roman" w:eastAsia="Times New Roman" w:hAnsi="Times New Roman" w:cs="Times New Roman"/>
        </w:rPr>
        <w:t>2002</w:t>
      </w:r>
      <w:r>
        <w:rPr>
          <w:rFonts w:ascii="SimSun" w:eastAsia="SimSun" w:hAnsi="SimSun" w:cs="SimSun"/>
        </w:rPr>
        <w:t>年，是由中国北方曲艺学校和天津市艺术学校共同组建而成的国办全日制综合性艺术类高职学院，隶属于天津市文化和旅游局。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办学条件：学院分居河东和南开两个校区，地理位置优越，交通便捷。学院行业优势明显，师资力量雄厚，教学特色鲜明，办学成果显著，在全国享有较高的社会知名度。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专业门类：</w:t>
      </w:r>
      <w:r>
        <w:rPr>
          <w:rFonts w:ascii="Times New Roman" w:eastAsia="Times New Roman" w:hAnsi="Times New Roman" w:cs="Times New Roman"/>
        </w:rPr>
        <w:t>2019</w:t>
      </w:r>
      <w:r>
        <w:rPr>
          <w:rFonts w:ascii="SimSun" w:eastAsia="SimSun" w:hAnsi="SimSun" w:cs="SimSun"/>
        </w:rPr>
        <w:t>年学院设曲艺表演、表演艺术（幼儿艺术）、音乐表演（声乐、器乐）、钢琴调律、舞蹈表演、文物修复与保护、人物形象设计、舞台艺术设计与制作（舞台技术）、播音与主持、旅游管理、会展策划与管理、摄影摄像技术等</w:t>
      </w:r>
      <w:r>
        <w:rPr>
          <w:rFonts w:ascii="Times New Roman" w:eastAsia="Times New Roman" w:hAnsi="Times New Roman" w:cs="Times New Roman"/>
        </w:rPr>
        <w:t>13</w:t>
      </w:r>
      <w:r>
        <w:rPr>
          <w:rFonts w:ascii="SimSun" w:eastAsia="SimSun" w:hAnsi="SimSun" w:cs="SimSun"/>
        </w:rPr>
        <w:t>个招生专业。其中曲艺表演、表演艺术（幼儿艺术）专业新生入学后在南开校区上课，其他专业在河东校区上课。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才培养：学院以传承、发展中华传统民族文化和服务天津文化强市发展战略为宗旨，以社会需求为导向，走产学研相结合的发展道路，努力培养大批德才兼备、适应文化大发展大繁荣需要的高素质应用型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形式：学院成立以来，为局所属的各级各类院团、展览馆、博物馆、天津大剧院、华夏未来等单位输送了大批专业对口的优秀毕业生，始终保持较高的就业率，现已成为与天津国际港口城市和北方经济中心地位相匹配的现代化艺术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天津艺术职业学院设高职招生工作领导小组（此后简称招生领导小组），全面负责学校招生工作，制定招生政策、招生计划，决定有关招生工作的重大事宜。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学院招生领导小组下设招生办公室（此后简称招生办公室），是组织和实施招生工作的常设机构，负责招生的日常工作。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学院成立以院纪检监察部门负责人为组长，有关部门领导参加的招生工作监察小组，负责监察招生录取全过程，并接受社会监督。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年招生计划。并按照教育部核准下达的具体招生专业、招生人数，在规定时间内寄送到各省、自治区、直辖市招生委员会，向社会公布；同时还通过其他方式向社会公布。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生。各专业收费标准详见省、自治区、直辖市招生办公布招生计划表或学校下发的</w:t>
      </w:r>
      <w:r>
        <w:rPr>
          <w:rFonts w:ascii="Times New Roman" w:eastAsia="Times New Roman" w:hAnsi="Times New Roman" w:cs="Times New Roman"/>
        </w:rPr>
        <w:t>2019</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r>
        <w:rPr>
          <w:rFonts w:ascii="SimSun" w:eastAsia="SimSun" w:hAnsi="SimSun" w:cs="SimSun"/>
        </w:rPr>
        <w:t>住宿收费标准：</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市招生委员会制定的录取政策以及本章程公布的有关规定，以考生填报的志愿和高考文化课成绩（艺术专业考生须获得相应专业考试合格证书）为主要录取依据，德智体美劳全面考核，择优录取。录取过程中，自觉接受天津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录取，实行顺序志愿的省份，以志愿优先为原则，即按考生填报的院校志愿顺序，按投档成绩从高到低录取第一志愿报考我校的考生，当各省（区、市）公布的同批次最低控制线上第一志愿报考我校的人数少于招生计划时，才录取第二志愿报考我校的考生，依此类推；实行平行志愿的省份，执行所在省（区、市）招生主管部门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执行分数优先的原则，按照文化课成绩从高到低排队，然后再依次按照每位考生填报的专业志愿顺序录取。如果考生总分未达到第一专业志愿录取分数，再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所有报考我校艺术类专业的考生，均须参加考生所在省（区、市）组织的艺术类统（联）考测试。凡统（联）考测试未涉及到的专业，考生可参加我校自行组织的专业测试。同时我校也承认其他院校同类专业校考合格成绩。如遇不允许我校承认其他院校同类专业校考合格成绩的省市，考生必须参加我校自行组织的专业测试。我校曲艺表演专业只承认我校自行组织的专业测试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对于组织艺术类统（联）考测试的专业，执行各省市划定的文化课与专业课的录取控制分数线，将已投档的考生依照考生填报的专业志愿，按专业课成绩从高至低顺序录取；对于院校自行组织专业测试或承认其他院校同类专业校考成绩的专业，在考生专业成绩合格的前提下，执行各省市划定的文化课录取控制分数线，将已投档的考生依照考生填报的专业志愿，按文化课成绩从高至低顺序录取。如有调整，以考生所在省、市招生委员会制定的艺术类专业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天津市参加春季招生考试的考生，其录取原则见《天津艺术职业学院</w:t>
      </w:r>
      <w:r>
        <w:rPr>
          <w:rFonts w:ascii="Times New Roman" w:eastAsia="Times New Roman" w:hAnsi="Times New Roman" w:cs="Times New Roman"/>
        </w:rPr>
        <w:t>2019</w:t>
      </w:r>
      <w:r>
        <w:rPr>
          <w:rFonts w:ascii="SimSun" w:eastAsia="SimSun" w:hAnsi="SimSun" w:cs="SimSun"/>
        </w:rPr>
        <w:t>年春季招收普通高中毕业生的招生章程》和《天津艺术职业学院</w:t>
      </w:r>
      <w:r>
        <w:rPr>
          <w:rFonts w:ascii="Times New Roman" w:eastAsia="Times New Roman" w:hAnsi="Times New Roman" w:cs="Times New Roman"/>
        </w:rPr>
        <w:t>2019</w:t>
      </w:r>
      <w:r>
        <w:rPr>
          <w:rFonts w:ascii="SimSun" w:eastAsia="SimSun" w:hAnsi="SimSun" w:cs="SimSun"/>
        </w:rPr>
        <w:t>年春季招收中职毕业生的招生章程》。艺术类专业的报考办法及录取原则见《天津艺术职业学院</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学院各专业招收考生不设性别限制，对政策加分考生的录取，按照教育部规定的原则执行。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上述文件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学院各招生专业公共外语为英语，其他小语种考生慎报。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w:t>
      </w:r>
      <w:r>
        <w:rPr>
          <w:rFonts w:ascii="SimSun" w:eastAsia="SimSun" w:hAnsi="SimSun" w:cs="SimSun"/>
        </w:rPr>
        <w:t>如有变化以内蒙古招生主管部门规定执行；在江苏省，选测科目和等级按照其公布的我校招生计划中的内容执行；在浙江省，录取时执行《浙江省高等学校招生委员会关于印发</w:t>
      </w:r>
      <w:r>
        <w:rPr>
          <w:rFonts w:ascii="Times New Roman" w:eastAsia="Times New Roman" w:hAnsi="Times New Roman" w:cs="Times New Roman"/>
        </w:rPr>
        <w:t>&lt;</w:t>
      </w:r>
      <w:r>
        <w:rPr>
          <w:rFonts w:ascii="SimSun" w:eastAsia="SimSun" w:hAnsi="SimSun" w:cs="SimSun"/>
        </w:rPr>
        <w:t>浙江省</w:t>
      </w:r>
      <w:r>
        <w:rPr>
          <w:rFonts w:ascii="Times New Roman" w:eastAsia="Times New Roman" w:hAnsi="Times New Roman" w:cs="Times New Roman"/>
        </w:rPr>
        <w:t>2019</w:t>
      </w:r>
      <w:r>
        <w:rPr>
          <w:rFonts w:ascii="SimSun" w:eastAsia="SimSun" w:hAnsi="SimSun" w:cs="SimSun"/>
        </w:rPr>
        <w:t>年普通高校招生录取工作方案</w:t>
      </w:r>
      <w:r>
        <w:rPr>
          <w:rFonts w:ascii="Times New Roman" w:eastAsia="Times New Roman" w:hAnsi="Times New Roman" w:cs="Times New Roman"/>
        </w:rPr>
        <w:t>&gt;</w:t>
      </w:r>
      <w:r>
        <w:rPr>
          <w:rFonts w:ascii="SimSun" w:eastAsia="SimSun" w:hAnsi="SimSun" w:cs="SimSun"/>
        </w:rPr>
        <w:t>的通知》相关规定。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针对同分情况，江苏考生，优先录取学业水平测试选测科目等级排序较高者。天津考生，执行第十四条第一款。其他省份考生，普通类专业，优先录取相关科目成绩较高的考生（文史类专业的相关科目依次为外语、语文、数学；理工类专业的相关科目依次为外语、数学、语文），如再相同，优先录取获得省级优秀学生、优秀学生干部、三好学生等荣誉称号考生。</w:t>
      </w:r>
      <w:r>
        <w:rPr>
          <w:rFonts w:ascii="Times New Roman" w:eastAsia="Times New Roman" w:hAnsi="Times New Roman" w:cs="Times New Roman"/>
        </w:rPr>
        <w:t xml:space="preserve"> </w:t>
      </w:r>
      <w:r>
        <w:rPr>
          <w:rFonts w:ascii="SimSun" w:eastAsia="SimSun" w:hAnsi="SimSun" w:cs="SimSun"/>
        </w:rPr>
        <w:t>所有省份艺术类专业，按文化课成绩排名录取的专业，文化课成绩相同时，依次按照外语、语文、数学的顺序，优先录取单科成绩较高的考生；按专业课成绩排名录取的专业，专业成绩相同，优先录取文化成绩较高的考生，如果文化成绩再次相同，那么依次按照外语、语文、数学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我校在浙江招生专业（类）对考试科目要求，综合素质档案的使用办法以当地教育招生考试部门及我校官方网站公示为准。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我校在接到各省（区、市）招生主管部门核准备案的录取考生名单后寄发录取通知书。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按国家招生规定录取的新生，持录取通知书按学校规定的期限到校办理入学手续。因故不能按期入学者，应当向学校请假。未请假或者请假逾期者，除因不可抗力等正当理由以外，视为放弃入学资格。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新生入学后按国家教育部规定实行电子注册，学校依据《天津艺术职业学院学生管理条例》等规章制度进行管理；按教学计划对学生进行培养。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我校依据国家有关规定，设立奖学金、助学金、国家助学贷款，符合条件的学生可以按规定享受、申请。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学生完成规定学业经审查达到毕业标准的颁发天津艺术职业学院全日制普通高等学校专科毕业证书。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年天津艺术职业学院高职招生工作。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本章程经天津艺术职业学院高职招生领导小组审查通过，报上级主管部门审核。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本章程自公布起开始执行。凡以前天津艺术职业学院有关高职招生工作的政策、规定与本章程不一致的，一律废止，均以本章程规定为准。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在招生咨询过程中天津艺术职业学院咨询人员的意见、建议仅作为考生填报志愿的参考，不属学校录取承诺。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本章程由天津艺术职业学院招生办公室负责解释。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地址：天津市河东区娄山道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天津市南开区苍穹道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022-23855353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招生举报电话：</w:t>
      </w:r>
      <w:r>
        <w:rPr>
          <w:rFonts w:ascii="Times New Roman" w:eastAsia="Times New Roman" w:hAnsi="Times New Roman" w:cs="Times New Roman"/>
        </w:rPr>
        <w:t xml:space="preserve">022-23855365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www.arttj.cn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tjyszb@126.com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1748972001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7.html" TargetMode="External" /><Relationship Id="rId5" Type="http://schemas.openxmlformats.org/officeDocument/2006/relationships/hyperlink" Target="http://www.gk114.com/a/gxzs/zszc/tianjin/2019/0610/963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