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天津财经大学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根据《中华人民共和国教育法》、《中华人民共和国高等教育法》等相关法律法规和教育部有关规定，为维护学校和考生的合法权益，依法招生，结合我校招生工作实际，制定本章程。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本章程是社会了解我校有关招生政策、规定及相关信息的主要渠道，是我校开展招生咨询和录取工作的主要依据。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（一）学校名称：天津财经大学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10070 </w:t>
      </w:r>
    </w:p>
    <w:p>
      <w:pPr>
        <w:rPr>
          <w:rFonts w:ascii="Times New Roman" w:eastAsia="Times New Roman" w:hAnsi="Times New Roman" w:cs="Times New Roman"/>
        </w:rPr>
      </w:pPr>
      <w:r>
        <w:rPr>
          <w:rFonts w:ascii="SimSun" w:eastAsia="SimSun" w:hAnsi="SimSun" w:cs="SimSun"/>
        </w:rPr>
        <w:t>（五）学校地址：天津市河西区珠江道</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r>
        <w:rPr>
          <w:rFonts w:ascii="SimSun" w:eastAsia="SimSun" w:hAnsi="SimSun" w:cs="SimSun"/>
        </w:rPr>
        <w:t>天津财经大学始建于</w:t>
      </w:r>
      <w:r>
        <w:rPr>
          <w:rFonts w:ascii="Times New Roman" w:eastAsia="Times New Roman" w:hAnsi="Times New Roman" w:cs="Times New Roman"/>
        </w:rPr>
        <w:t>1958</w:t>
      </w:r>
      <w:r>
        <w:rPr>
          <w:rFonts w:ascii="SimSun" w:eastAsia="SimSun" w:hAnsi="SimSun" w:cs="SimSun"/>
        </w:rPr>
        <w:t>年，是新中国最早建立的财经大学之一，是以南开大学经济管理类专业为基础，并从华北、东北地区高校汇聚一批经济管理领域享有盛誉的专家学者组建起来的。历经六十余年的建设和发展，学校面貌发生了历史性的巨大变化。现校园占地近</w:t>
      </w:r>
      <w:r>
        <w:rPr>
          <w:rFonts w:ascii="Times New Roman" w:eastAsia="Times New Roman" w:hAnsi="Times New Roman" w:cs="Times New Roman"/>
        </w:rPr>
        <w:t>1400</w:t>
      </w:r>
      <w:r>
        <w:rPr>
          <w:rFonts w:ascii="SimSun" w:eastAsia="SimSun" w:hAnsi="SimSun" w:cs="SimSun"/>
        </w:rPr>
        <w:t>亩，各类在校生约</w:t>
      </w:r>
      <w:r>
        <w:rPr>
          <w:rFonts w:ascii="Times New Roman" w:eastAsia="Times New Roman" w:hAnsi="Times New Roman" w:cs="Times New Roman"/>
        </w:rPr>
        <w:t>15000</w:t>
      </w:r>
      <w:r>
        <w:rPr>
          <w:rFonts w:ascii="SimSun" w:eastAsia="SimSun" w:hAnsi="SimSun" w:cs="SimSun"/>
        </w:rPr>
        <w:t>人；已建成为一所以经济学和管理学为主干，兼有文学、法学、理学、工学、教育学、艺术学等学科门类交叉渗透、协调发展的多科性大学，是天津市市属重点大学和我国北方培养高级经济管理人才的重要基地。学校拥有应用经济学、工商管理和管理科学与工程等一级学科博士点和博士后流动站，拥有</w:t>
      </w:r>
      <w:r>
        <w:rPr>
          <w:rFonts w:ascii="Times New Roman" w:eastAsia="Times New Roman" w:hAnsi="Times New Roman" w:cs="Times New Roman"/>
        </w:rPr>
        <w:t>9</w:t>
      </w:r>
      <w:r>
        <w:rPr>
          <w:rFonts w:ascii="SimSun" w:eastAsia="SimSun" w:hAnsi="SimSun" w:cs="SimSun"/>
        </w:rPr>
        <w:t>个一级学科硕士学位授权点和</w:t>
      </w:r>
      <w:r>
        <w:rPr>
          <w:rFonts w:ascii="Times New Roman" w:eastAsia="Times New Roman" w:hAnsi="Times New Roman" w:cs="Times New Roman"/>
        </w:rPr>
        <w:t>13</w:t>
      </w:r>
      <w:r>
        <w:rPr>
          <w:rFonts w:ascii="SimSun" w:eastAsia="SimSun" w:hAnsi="SimSun" w:cs="SimSun"/>
        </w:rPr>
        <w:t>个专业硕士学位授权点。学校实施国际化战略，在英国、美国开设孔子学院，深化中外合作办学项目建设，丰富国际执业教育体系，不断提升办学国际化水平。学校教育教学质量和育人品牌得到社会广泛认可，在全国</w:t>
      </w:r>
      <w:r>
        <w:rPr>
          <w:rFonts w:ascii="Times New Roman" w:eastAsia="Times New Roman" w:hAnsi="Times New Roman" w:cs="Times New Roman"/>
        </w:rPr>
        <w:t>30</w:t>
      </w:r>
      <w:r>
        <w:rPr>
          <w:rFonts w:ascii="SimSun" w:eastAsia="SimSun" w:hAnsi="SimSun" w:cs="SimSun"/>
        </w:rPr>
        <w:t>个省份一批次招生，已成为我国财经类院校录取新生质量最好的院校之一。学校注重学生综合素质和能力的培养提升，积极为学生搭建就业平台，本科生一次性就业率多年保持在</w:t>
      </w:r>
      <w:r>
        <w:rPr>
          <w:rFonts w:ascii="Times New Roman" w:eastAsia="Times New Roman" w:hAnsi="Times New Roman" w:cs="Times New Roman"/>
        </w:rPr>
        <w:t>95%</w:t>
      </w:r>
      <w:r>
        <w:rPr>
          <w:rFonts w:ascii="SimSun" w:eastAsia="SimSun" w:hAnsi="SimSun" w:cs="SimSun"/>
        </w:rPr>
        <w:t>以上，学校获</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w:t>
      </w:r>
      <w:r>
        <w:rPr>
          <w:rFonts w:ascii="SimSun" w:eastAsia="SimSun" w:hAnsi="SimSun" w:cs="SimSun"/>
        </w:rPr>
        <w:t>称号，入选全国就业</w:t>
      </w:r>
      <w:r>
        <w:rPr>
          <w:rFonts w:ascii="Times New Roman" w:eastAsia="Times New Roman" w:hAnsi="Times New Roman" w:cs="Times New Roman"/>
        </w:rPr>
        <w:t>50</w:t>
      </w:r>
      <w:r>
        <w:rPr>
          <w:rFonts w:ascii="SimSun" w:eastAsia="SimSun" w:hAnsi="SimSun" w:cs="SimSun"/>
        </w:rPr>
        <w:t>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委员会，对招生工作进行管理和监督。学校设立招生工作领导小组，全面负责学校招生工作，讨论决定招生工作重大事宜。领导小组下设招生工作办公室，是学校组织和实施招生工作的常设机构，具体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学校本科招生工作接受纪检监察部门以及社会的监督。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30</w:t>
      </w:r>
      <w:r>
        <w:rPr>
          <w:rFonts w:ascii="SimSun" w:eastAsia="SimSun" w:hAnsi="SimSun" w:cs="SimSun"/>
        </w:rPr>
        <w:t>个省份的分专业招生计划。按照教育部有关计划编制的原则、要求编制本校招生来源计划，并报主管部门审核，由各省级招办向社会公布招生计划信息；学校还将通过其它方式向社会公布。学校预留计划不超过本科招生计划的</w:t>
      </w:r>
      <w:r>
        <w:rPr>
          <w:rFonts w:ascii="Times New Roman" w:eastAsia="Times New Roman" w:hAnsi="Times New Roman" w:cs="Times New Roman"/>
        </w:rPr>
        <w:t>1%</w:t>
      </w:r>
      <w:r>
        <w:rPr>
          <w:rFonts w:ascii="SimSun" w:eastAsia="SimSun" w:hAnsi="SimSun" w:cs="SimSun"/>
        </w:rPr>
        <w:t>，用于调节各地统考上线生源的不平衡。预留计划使用坚持集体议事、集体决定的原则，经校招生工作领导小组同意，并报上级主管部门批准，对生源好、志愿足、录取分数高的省招生计划作适当调整。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r>
        <w:rPr>
          <w:rFonts w:ascii="SimSun" w:eastAsia="SimSun" w:hAnsi="SimSun" w:cs="SimSun"/>
        </w:rPr>
        <w:t>文科类每生每学年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元；设计学类每生每学年</w:t>
      </w:r>
      <w:r>
        <w:rPr>
          <w:rFonts w:ascii="Times New Roman" w:eastAsia="Times New Roman" w:hAnsi="Times New Roman" w:cs="Times New Roman"/>
        </w:rPr>
        <w:t>12000</w:t>
      </w:r>
      <w:r>
        <w:rPr>
          <w:rFonts w:ascii="SimSun" w:eastAsia="SimSun" w:hAnsi="SimSun" w:cs="SimSun"/>
        </w:rPr>
        <w:t>元；美术学类每生每学年</w:t>
      </w:r>
      <w:r>
        <w:rPr>
          <w:rFonts w:ascii="Times New Roman" w:eastAsia="Times New Roman" w:hAnsi="Times New Roman" w:cs="Times New Roman"/>
        </w:rPr>
        <w:t>15000</w:t>
      </w:r>
      <w:r>
        <w:rPr>
          <w:rFonts w:ascii="SimSun" w:eastAsia="SimSun" w:hAnsi="SimSun" w:cs="SimSun"/>
        </w:rPr>
        <w:t>元；中外合作办学专业金融学（能源金融）每生每学年</w:t>
      </w:r>
      <w:r>
        <w:rPr>
          <w:rFonts w:ascii="Times New Roman" w:eastAsia="Times New Roman" w:hAnsi="Times New Roman" w:cs="Times New Roman"/>
        </w:rPr>
        <w:t>34000</w:t>
      </w:r>
      <w:r>
        <w:rPr>
          <w:rFonts w:ascii="SimSun" w:eastAsia="SimSun" w:hAnsi="SimSun" w:cs="SimSun"/>
        </w:rPr>
        <w:t>元，国外学费按照赴对方学校当年公布学费标准执行。住宿费标准：每生每学年</w:t>
      </w:r>
      <w:r>
        <w:rPr>
          <w:rFonts w:ascii="Times New Roman" w:eastAsia="Times New Roman" w:hAnsi="Times New Roman" w:cs="Times New Roman"/>
        </w:rPr>
        <w:t>1500</w:t>
      </w:r>
      <w:r>
        <w:rPr>
          <w:rFonts w:ascii="SimSun" w:eastAsia="SimSun" w:hAnsi="SimSun" w:cs="SimSun"/>
        </w:rPr>
        <w:t>元。各专业收费标准详见各省招生办公室公布招生计划或学校下发的</w:t>
      </w:r>
      <w:r>
        <w:rPr>
          <w:rFonts w:ascii="Times New Roman" w:eastAsia="Times New Roman" w:hAnsi="Times New Roman" w:cs="Times New Roman"/>
        </w:rPr>
        <w:t>2019</w:t>
      </w:r>
      <w:r>
        <w:rPr>
          <w:rFonts w:ascii="SimSun" w:eastAsia="SimSun" w:hAnsi="SimSun" w:cs="SimSun"/>
        </w:rPr>
        <w:t>年新生报到须知。以上收费标准如有调整，以最终价格主管部门批准的文件执行。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招生委员会制定的录取政策，以及本章程公布的有关规定；以考生填报志愿和高考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非平行志愿省份，院校志愿录取以志愿优先为原则，即按考生填报的院校志愿顺序，从高分到低分录取第一志愿报考我校的考生，只有当各省份公布的同批次最低控制线上第一志愿报考我校的人数少于招生计划时，才录取第二志愿报考我校的考生，以此类推。凡高考录取实行平行志愿的省份、高考综合改革试点省份，执行所在省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以此类推，直至最后一个专业志愿。在考生所报专业志愿均未被录取情况下，对服从专业调剂者，可调到未录满专业（不含中外合作办学专业）；对不服从调剂者，作退档处理。专业志愿不设分数级差。中外合作办学专业只录取填报有该专业志愿的考生（不含服从专业调剂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对内蒙古自治区考生，我校采取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投档成绩中含政策加分考生的录取，按照教育部规定的实行属地化管理的原则，执行考生所在省招生委员会制定的加分政策和录取规定。用于录取及专业安排的成绩，以各省招生办公室的投档分数为准，未加入投档分数的其它政策加分不计算在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投档成绩相同时，按照数学、语文、英语顺序依次比较单科成绩高者优先录取。即，投档成绩相同时，先比较数学单科成绩，分数高者优先录取；若数学成绩仍相同，则比较语文单科成绩，分数高者优先录取；以此类推。投档成绩相同需退档时，按照数学、语文、英语顺序依次比较单科成绩低者做退档处理。高考综合改革试点省份考生再参考综合素质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艺术类、高水平运动队招生录取原则详见我校当年本类别招生简章相关规定。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依照教育部、卫生部、中国残疾人联合会印发的《普通高等学校招生体检工作指导意见》和教育部办公厅、卫生部办公厅《关于普通高等学校招生学生入学身体检查取消乙肝项目检测有关问题的通知》等有关规定，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我校外语教学为英语，小语种考生慎重填报。我校中外合作办学专业金融学（能源金融）教学对学生英语水平要求较高，高考英语单科成绩未达到</w:t>
      </w:r>
      <w:r>
        <w:rPr>
          <w:rFonts w:ascii="Times New Roman" w:eastAsia="Times New Roman" w:hAnsi="Times New Roman" w:cs="Times New Roman"/>
        </w:rPr>
        <w:t>110</w:t>
      </w:r>
      <w:r>
        <w:rPr>
          <w:rFonts w:ascii="SimSun" w:eastAsia="SimSun" w:hAnsi="SimSun" w:cs="SimSun"/>
        </w:rPr>
        <w:t>分（非</w:t>
      </w:r>
      <w:r>
        <w:rPr>
          <w:rFonts w:ascii="Times New Roman" w:eastAsia="Times New Roman" w:hAnsi="Times New Roman" w:cs="Times New Roman"/>
        </w:rPr>
        <w:t>150</w:t>
      </w:r>
      <w:r>
        <w:rPr>
          <w:rFonts w:ascii="SimSun" w:eastAsia="SimSun" w:hAnsi="SimSun" w:cs="SimSun"/>
        </w:rPr>
        <w:t>分满分的，按照相应比例折算）的考生和小语种考生慎重填报。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对于江苏省普通类考生，学业水平测试成绩达到选测科目为</w:t>
      </w:r>
      <w:r>
        <w:rPr>
          <w:rFonts w:ascii="Times New Roman" w:eastAsia="Times New Roman" w:hAnsi="Times New Roman" w:cs="Times New Roman"/>
        </w:rPr>
        <w:t>2B</w:t>
      </w:r>
      <w:r>
        <w:rPr>
          <w:rFonts w:ascii="SimSun" w:eastAsia="SimSun" w:hAnsi="SimSun" w:cs="SimSun"/>
        </w:rPr>
        <w:t>、必测科目成绩均须达到合格（或</w:t>
      </w:r>
      <w:r>
        <w:rPr>
          <w:rFonts w:ascii="Times New Roman" w:eastAsia="Times New Roman" w:hAnsi="Times New Roman" w:cs="Times New Roman"/>
        </w:rPr>
        <w:t>C</w:t>
      </w:r>
      <w:r>
        <w:rPr>
          <w:rFonts w:ascii="SimSun" w:eastAsia="SimSun" w:hAnsi="SimSun" w:cs="SimSun"/>
        </w:rPr>
        <w:t>级及以上等级），均具有报考我校资格，不同专业对考生选测科目的要求以我校招生计划公布为准。对进档考生，按照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办法进行排序录取。投档成绩相同时，优先录取学业水平测试选测科目等级较高的考生（两门选测科目中，优先比较物理或历史的等级，如等级相同，再比较另一门选测科目等级）；如选测科目等级也相同，优先录取相关科目成绩较高的考生，相关科目依次为数学、语文、英语，不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对于上海市、浙江省考生，录取时分别执行当地、当年招生录取相关规定。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我校在接到各省招生办公室核准备案的录取考生名单后寄发录取通知书，录取通知书以特快专递的方式寄出。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学校按照国家有关规定对入学后学生进行复查，复查中发现学生存在弄虚作假、徇私舞弊等情形的，确定为复查不合格，取消其学籍。学校依据天津财经大学学生手册中《天津财经大学学生管理规定》等规章制度进行管理；按教学计划对学生进行培养。学生在校期间必须在学生公寓统一住宿，严禁吸烟饮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对于录取到专业大类或含有多个专业方向的考生，在学期间结合其志愿、考试成绩、综合素质测评情况等进行专业或方向的分流。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学生在校期间可以攻读双学士学位或辅修专业；符合规定条件可申请主辅修互换。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实验班是我校进行教学改革，全面实施素质教育，因材施教，培养优秀人才和建设优良学风的基地。学校选拔优秀新生组建实验班。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学校依据有关规定通过设立奖学金、国家助学贷款、勤工助学、学费减免等资助措施，帮助经济困难的学生完成学业。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财经大学全日制普通高等学校毕业证书；对符合天津财经大学学士学位授予条件的毕业生授予学士学位，颁发学位证书。中外合作办学金融学（能源金融）专业学生符合对方学校学位授予条件，可再授予对方学校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年度我校普通本科招生工作。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本章程已经我校校长办公会审查通过，报上级主管部门审核。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本章程自公布起开始执行。凡以往我校有关本科招生工作的政策、规定与本章程不一致的，一律废止，均以本章程规定为准。如遇教育部、有关省份高考招生政策调整，我校将根据相关政策作相应修订。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在招生咨询过程中我校咨询人员的咨询意见、建议仅作为考生填报志愿的参考，不属学校录取承诺。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本章程由天津财经大学招生办公室负责解释。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www.tjufe.edu.cn </w:t>
      </w:r>
    </w:p>
    <w:p>
      <w:pPr>
        <w:rPr>
          <w:rFonts w:ascii="Times New Roman" w:eastAsia="Times New Roman" w:hAnsi="Times New Roman" w:cs="Times New Roman"/>
        </w:rPr>
      </w:pPr>
      <w:r>
        <w:rPr>
          <w:rFonts w:ascii="Times New Roman" w:eastAsia="Times New Roman" w:hAnsi="Times New Roman" w:cs="Times New Roman"/>
        </w:rPr>
        <w:t xml:space="preserve">E-mail:zhaosheng@tjufe.edu.cn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022-28171399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300222 </w:t>
      </w:r>
    </w:p>
    <w:p>
      <w:pPr>
        <w:rPr>
          <w:rFonts w:ascii="Times New Roman" w:eastAsia="Times New Roman" w:hAnsi="Times New Roman" w:cs="Times New Roman"/>
        </w:rPr>
      </w:pPr>
      <w:r>
        <w:rPr>
          <w:rFonts w:ascii="SimSun" w:eastAsia="SimSun" w:hAnsi="SimSun" w:cs="SimSun"/>
        </w:rPr>
        <w:t>地址：天津市河西区珠江道</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7.html" TargetMode="External" /><Relationship Id="rId5" Type="http://schemas.openxmlformats.org/officeDocument/2006/relationships/hyperlink" Target="http://www.gk114.com/a/gxzs/zszc/tianjin/2019/0610/964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