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天津音乐学院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根据《中华人民共和国教育法》《中华人民共和国高等教育法》和教育部有关规定，结合我校招生工作实际，制定本章程。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本章程是社会了解我校有关招生政策、规定及相关信息的主要渠道，是我校开展招生咨询和录取工作的重要依据。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（一）学校名称：天津音乐学院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（三）办学层次：硕士、本科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（四）学校代码：10072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（五）学校地址：天津市河东区十一经路57号（北院），天津市河东区十四经路9号（南院）。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（六）学校基本概况：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音乐学院始建于1958年10月，经过60多年的建设，已经发展成为培养音乐、舞蹈、戏剧、影视专门人才的重要高等艺术教育学府。学校遵循党和国家教育方针，坚持立德树人根本任务，全面履行科学研究、人才培养、文化传承创新、服务社会、国际交流合作五大职能。学校坚持高水平、有特色的发展理念，主动适应国家和地区经济文化发展需要，培养德智体美劳全面发展，具有社会责任感、创新精神和实践能力的音乐艺术专门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学校设立本科招生工作领导小组和本科招生工作委员会，全面负责学校招生工作，制定招生政策、招生计划，决定有关招生的重大事宜。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招生工作领导小组和招生工作委员会下设招生办公室，是组织和实施招生工作的常设机构，负责招生的日常事务工作，主任由招生办公室主任担任。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招生领导小组下设督查组是招生工作的监察机构，对招生工作全程进行监督。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学校按照教育部核准下达的具体招生专业、招生人数确定招生专业、规模。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是独立设置艺术院校，不做分省计划。根据发展规划、办学条件、生源状况和社会需求，制定面向全国的分专业招生计划，通过招生简章向社会公布。在招生总计划数范围内，经学校招生工作领导小组批准，录取时可将部分专业（招考方向）未完成的招生计划数调剂至其他专业（招考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学校在高考综合改革试点省(市)的招生专业（类）对考试科目要求、综合素质档案的使用办法以当地教育招生考试部门及我校官方网站公示为准。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校执行各省（直辖市、自治区）招生委员会制定的投档规则及录取办法，遵循公平竞争、公正选拔、公开程序的原则，专业录取以考生专业成绩和高考文化课成绩为主要录取依据择优录取，自觉接受各省（直辖市、自治区）招生委员会和纪检监察部门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学校是教育部批准的自主划定文化课录取最低控制线的院校之一，根据前款规定，按照学校划定的文化课最低控制线录取。高考外语语种不限，文化课成绩不分文科、理科，不含各类录取政策加分。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音乐学专业（包括音乐学理论、音乐商务与音乐传媒和音乐批评招考方向），校考专业考试合格，高考文化课（750分满分）成绩达到我校录取控制分数线后，按文化课成绩从高到低择优录取。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音乐教育专业（包括钢琴主项、声乐主项招考方向），校考专业考试合格，高考文化课（750分满分）成绩达到我校录取控制分数线后，按综合成绩从高到低择优录取。</w:t>
      </w:r>
      <w:r>
        <w:rPr>
          <w:rFonts w:ascii="Microsoft YaHei" w:eastAsia="Microsoft YaHei" w:hAnsi="Microsoft YaHei" w:cs="Microsoft YaHei"/>
          <w:color w:val="333333"/>
        </w:rPr>
        <w:t>综合成绩（100分满分）计算公式为：</w:t>
      </w:r>
      <w:r>
        <w:rPr>
          <w:rFonts w:ascii="Microsoft YaHei" w:eastAsia="Microsoft YaHei" w:hAnsi="Microsoft YaHei" w:cs="Microsoft YaHei"/>
          <w:color w:val="333333"/>
        </w:rPr>
        <w:t>综合成绩=考生高考文化课（750分满分）成绩</w:t>
      </w:r>
      <w:r>
        <w:rPr>
          <w:rFonts w:ascii="Microsoft YaHei" w:eastAsia="Microsoft YaHei" w:hAnsi="Microsoft YaHei" w:cs="Microsoft YaHei"/>
          <w:color w:val="333333"/>
        </w:rPr>
        <w:t>÷750×100×70%+校考专业成绩×30%。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除音乐学专业（包括音乐学理论、音乐商务与音乐传媒和音乐批评招考方向）、音乐教育专业（包括钢琴主项、声乐主项招考方向）外，其他专业在高考文化课成绩（750分满分）达到我校录取控制分数线后，按校考专业各招考方向成绩从高到低择优录取。我校高考文化课成绩录取控制分数线均按照750分制标准划定。高考文化课成绩满分非750分制的省市，需先按750分制折算。录取排名末位同分者，依据校考专业成绩、高考文化课总分、语文、数学、外语成绩由高分到低分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考生须按照生源省要求参加所在省组织的艺术类统考，成绩合格方可报名参加我校专业考试。省统考类别与我校专业未对应的考生，可直接报考我校。我校将在教育部专业合格名单备案时，统一核验考生艺术类统考合格要求，如经核实不符合要求的，将无法备案，校考成绩视为无效。考生必须参加我校组织的专业考试，专业考试合格者方可填报志愿报考我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学校依照教育部、卫生部、中国残疾人联合会颁布的《普通高等学校招生体检工作指导意见》及有关补充规定和学校各专业学习的身体条件要求，对考生身体健康状况进行审查和复查。对不符合标准的，按指导意见的相关规定进行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学校各专业的公共外语课程为英语。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学校年度招生专业和专业考试内容通过招生简章发布。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学校接到各省（直辖市、自治区）招办核准备案的录取考生名单后寄发录取通知书，录取通知书以特快专递的方式寄发。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咨询、联系及录取结果查询方式：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电子邮箱：zsb@tjcm.edu.cn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电话：022-24160044（兼传真）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地址：天津市河东区十四经路9号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邮编：300171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学校官网：http://www.tjcm.edu.cn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监督电话：022-24310376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按国家招生规定录取的新生，应持录取通知书及本人身份证，根据学校有关要求和规定的期限到校办理入学手续。应征入伍的新生按要求在规定时间内，办理保留入学资格的相关手续。因故不能按期入学者，应当向学校请假。请假期限一般不超过15天。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新生报到时，学校依照《普通高校学生管理规定》对新生入学资格进行初步审查，审查合格者办理入学手续，予以注册学籍。新生入学后，学校按照国家招生规定《天津音乐学院学籍管理规定》等相关规章制度对新生进行复查，凡属弄虚作假、徇私舞弊取得学籍者，确定为复查不合格，取消其学籍。情节恶劣的，交有关部门查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新生入学后，每学期办理学生注册手续，不能如期注册的，依据《普通高校学生管理规定》《天津音乐学院学籍管理规定》暂缓注册或不予注册。学生在学习期间，学校按教学计划对学生进行培养，学生转专业，依据《普通高等学校学生管理规定》《天津音乐学院学生管理规定》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 </w:t>
      </w:r>
      <w:r>
        <w:rPr>
          <w:rFonts w:ascii="Microsoft YaHei" w:eastAsia="Microsoft YaHei" w:hAnsi="Microsoft YaHei" w:cs="Microsoft YaHei"/>
          <w:color w:val="333333"/>
        </w:rPr>
        <w:t>新生一律缴费上学。经天津市发展和改革委员会批准，音乐学专业、音乐教育专业、作曲与作曲技术理论专业、音乐表演专业、表演专业、戏剧影视美术设计专业、舞蹈表演专业、舞蹈编导专业、舞蹈学专业学费收费标准现执行每生15000元/学年。以上收费标准如有变动，以天津市最新政策为准。学校实行奖学金制，对品学兼优学生进行奖励。家庭经济困难学生资助政策及有关程序，按照高等学校学生资助相关政策及我校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新生入学后，生活待遇按国家有关规定办理。本市市区学生实行走读，其他学生提供住宿，收取住宿费。住宿费标准每生1000元/学年（六人间）。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学生入学后使用的乐器除钢琴外均应自备，确有困难者可向学校申请租赁。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学生完成规定学业，经审查达到毕业标准的颁发天津音乐学院全日制普通高等学校毕业证书，对符合我校学位相关规定要求的毕业生授予学士学位，颁发学位证书。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 </w:t>
      </w:r>
      <w:r>
        <w:rPr>
          <w:rFonts w:ascii="Microsoft YaHei" w:eastAsia="Microsoft YaHei" w:hAnsi="Microsoft YaHei" w:cs="Microsoft YaHei"/>
          <w:color w:val="333333"/>
        </w:rPr>
        <w:t>本章程只适用于本年度本科招生工作。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本章程经天津音乐学院普通本科招生领导小组审核通过，报上级主管部门审核。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本章程自公布起开始执行。凡以前我校有关招生工作的政策、规定与本章程不一致的，一律废止，均以本章程规定为准。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 </w:t>
      </w:r>
      <w:r>
        <w:rPr>
          <w:rFonts w:ascii="Microsoft YaHei" w:eastAsia="Microsoft YaHei" w:hAnsi="Microsoft YaHei" w:cs="Microsoft YaHei"/>
          <w:color w:val="333333"/>
        </w:rPr>
        <w:t>在招生咨询过程中我校咨询人员的咨询内容仅供考生和家长参考，不属于学校录取的承诺。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 </w:t>
      </w:r>
      <w:r>
        <w:rPr>
          <w:rFonts w:ascii="Microsoft YaHei" w:eastAsia="Microsoft YaHei" w:hAnsi="Microsoft YaHei" w:cs="Microsoft YaHei"/>
          <w:color w:val="333333"/>
        </w:rPr>
        <w:t>本章程由天津音乐学院招生办公室负责解释。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413/26750.html" TargetMode="External" /><Relationship Id="rId11" Type="http://schemas.openxmlformats.org/officeDocument/2006/relationships/hyperlink" Target="http://www.gk114.com/a/gxzs/zszc/tianjin/2023/0410/26644.html" TargetMode="External" /><Relationship Id="rId12" Type="http://schemas.openxmlformats.org/officeDocument/2006/relationships/hyperlink" Target="http://www.gk114.com/a/gxzs/zszc/tianjin/2022/0529/22585.html" TargetMode="External" /><Relationship Id="rId13" Type="http://schemas.openxmlformats.org/officeDocument/2006/relationships/hyperlink" Target="http://www.gk114.com/a/gxzs/zszc/tianjin/2022/0529/22584.html" TargetMode="External" /><Relationship Id="rId14" Type="http://schemas.openxmlformats.org/officeDocument/2006/relationships/hyperlink" Target="http://www.gk114.com/a/gxzs/zszc/tianjin/2022/0529/22583.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3/0529/28029.html" TargetMode="External" /><Relationship Id="rId5" Type="http://schemas.openxmlformats.org/officeDocument/2006/relationships/hyperlink" Target="http://www.gk114.com/a/gxzs/zszc/tianjin/2023/0529/2803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3/0529/28028.html" TargetMode="External" /><Relationship Id="rId8" Type="http://schemas.openxmlformats.org/officeDocument/2006/relationships/hyperlink" Target="http://www.gk114.com/a/gxzs/zszc/tianjin/2023/0529/28026.html" TargetMode="External" /><Relationship Id="rId9" Type="http://schemas.openxmlformats.org/officeDocument/2006/relationships/hyperlink" Target="http://www.gk114.com/a/gxzs/zszc/tianjin/2023/0529/280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