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为了保证学校高考招生工作的顺利进行，规范招生工作，提高生源质量，实施招生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，根据《中华人民共和国教育法》、《中华人民共和国高等教育法》和教育部关于高等学校招生工作的相关规定，结合我校实际，特制定本章程。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本章程适用于太原学院普通本、专科招生工作。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太原学院招生工作贯彻</w:t>
      </w:r>
      <w:r>
        <w:rPr>
          <w:rFonts w:ascii="Times New Roman" w:eastAsia="Times New Roman" w:hAnsi="Times New Roman" w:cs="Times New Roman"/>
        </w:rPr>
        <w:t>“</w:t>
      </w:r>
      <w:r>
        <w:rPr>
          <w:rFonts w:ascii="SimSun" w:eastAsia="SimSun" w:hAnsi="SimSun" w:cs="SimSun"/>
        </w:rPr>
        <w:t>公平竞争、公正选拨、公开程序、德智体美劳全面考核、综合评价、择优录取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w:t>
      </w:r>
      <w:r>
        <w:rPr>
          <w:rFonts w:ascii="Times New Roman" w:eastAsia="Times New Roman" w:hAnsi="Times New Roman" w:cs="Times New Roman"/>
        </w:rPr>
        <w:t xml:space="preserve">: </w:t>
      </w:r>
      <w:r>
        <w:rPr>
          <w:rFonts w:ascii="SimSun" w:eastAsia="SimSun" w:hAnsi="SimSun" w:cs="SimSun"/>
        </w:rPr>
        <w:t>太原学院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11242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办学形式</w:t>
      </w:r>
      <w:r>
        <w:rPr>
          <w:rFonts w:ascii="Times New Roman" w:eastAsia="Times New Roman" w:hAnsi="Times New Roman" w:cs="Times New Roman"/>
        </w:rPr>
        <w:t xml:space="preserve">: </w:t>
      </w:r>
      <w:r>
        <w:rPr>
          <w:rFonts w:ascii="SimSun" w:eastAsia="SimSun" w:hAnsi="SimSun" w:cs="SimSun"/>
        </w:rPr>
        <w:t>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录取通知书签发人：院长：张瑞君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汾东校区</w:t>
      </w:r>
      <w:r>
        <w:rPr>
          <w:rFonts w:ascii="Times New Roman" w:eastAsia="Times New Roman" w:hAnsi="Times New Roman" w:cs="Times New Roman"/>
        </w:rPr>
        <w:t xml:space="preserve">  </w:t>
      </w:r>
      <w:r>
        <w:rPr>
          <w:rFonts w:ascii="SimSun" w:eastAsia="SimSun" w:hAnsi="SimSun" w:cs="SimSun"/>
        </w:rPr>
        <w:t>太原经济技术开发区大昌南路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府东校区</w:t>
      </w:r>
      <w:r>
        <w:rPr>
          <w:rFonts w:ascii="Times New Roman" w:eastAsia="Times New Roman" w:hAnsi="Times New Roman" w:cs="Times New Roman"/>
        </w:rPr>
        <w:t xml:space="preserve">  </w:t>
      </w:r>
      <w:r>
        <w:rPr>
          <w:rFonts w:ascii="SimSun" w:eastAsia="SimSun" w:hAnsi="SimSun" w:cs="SimSun"/>
        </w:rPr>
        <w:t>太原市杏花岭街</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030001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滨河校区</w:t>
      </w:r>
      <w:r>
        <w:rPr>
          <w:rFonts w:ascii="Times New Roman" w:eastAsia="Times New Roman" w:hAnsi="Times New Roman" w:cs="Times New Roman"/>
        </w:rPr>
        <w:t xml:space="preserve">  </w:t>
      </w:r>
      <w:r>
        <w:rPr>
          <w:rFonts w:ascii="SimSun" w:eastAsia="SimSun" w:hAnsi="SimSun" w:cs="SimSun"/>
        </w:rPr>
        <w:t>太原市南内环街南二巷</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学校设有招生工作领导小组，全面负责学校的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招生工作，讨论决定招生工作重大事宜，并根据上级部门的有关规定和学校发展需要，拟定招生计划，制定学校招生政策。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学校招生就业处是学校组织和开展招生工作的常设机构，负责普通本专科招生的日常工作。招生工作接受纪检部门以及社会各界的监督。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学校执行省教育厅核准的招生计划总数，并通过各省级招生主管部门、学校招生简章、学校网站等形式向社会公布。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招生计划分配的原则和办法：根据各省、市、自治区生源情况、学校发展思路及毕业生就业情况，科学合理制定分省分专业招生计划。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太原学院对考生体检的要求</w:t>
      </w:r>
      <w:r>
        <w:rPr>
          <w:rFonts w:ascii="Times New Roman" w:eastAsia="Times New Roman" w:hAnsi="Times New Roman" w:cs="Times New Roman"/>
        </w:rPr>
        <w:t>,</w:t>
      </w:r>
      <w:r>
        <w:rPr>
          <w:rFonts w:ascii="SimSun" w:eastAsia="SimSun" w:hAnsi="SimSun" w:cs="SimSun"/>
        </w:rPr>
        <w:t>按照教育部印发的《普通高等学校招生体检工作指导意见》执行。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学校严格按教育部规定执行加分优惠政策，同意并执行各省（市、自治区）教育行政部门、招生考试机构有关加分或降分投档的政策规定。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学校根据各省、市、自治区生源情况确定提档比例，提档比例一般控制在招生计划的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文史类、理工类专业录取原则：学校按照分数优先的原则，依据考生所报专业志愿顺序</w:t>
      </w:r>
      <w:r>
        <w:rPr>
          <w:rFonts w:ascii="Times New Roman" w:eastAsia="Times New Roman" w:hAnsi="Times New Roman" w:cs="Times New Roman"/>
        </w:rPr>
        <w:t>(</w:t>
      </w:r>
      <w:r>
        <w:rPr>
          <w:rFonts w:ascii="SimSun" w:eastAsia="SimSun" w:hAnsi="SimSun" w:cs="SimSun"/>
        </w:rPr>
        <w:t>不含专业服从志愿</w:t>
      </w:r>
      <w:r>
        <w:rPr>
          <w:rFonts w:ascii="Times New Roman" w:eastAsia="Times New Roman" w:hAnsi="Times New Roman" w:cs="Times New Roman"/>
        </w:rPr>
        <w:t>),</w:t>
      </w:r>
      <w:r>
        <w:rPr>
          <w:rFonts w:ascii="SimSun" w:eastAsia="SimSun" w:hAnsi="SimSun" w:cs="SimSun"/>
        </w:rPr>
        <w:t>从高分到低分确定考生录取专业；若出现考生成绩并列时，按单科成绩依次从高到低排序择优录取；考生单科成绩排序的顺序是：文史类：语文、数学、文科综合；理工类：数学、语文、理科综合；若考生成绩无法满足考生所填报的专业志愿时，若服从专业调配，将调配到录取计划未满的专业，若不服从专业调配，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翻译专业要求考生的考试语种为英语。学校公共外语教学只安排英语教学，建议非英语语种考生慎重报考。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专业录取原则：考生文化课成绩和专业成绩均达到生源所在省相应批次的最低录取控制分数线。美术类专业（视觉传达设计、环境设计、书法学、美术教育）进档考生按照文化课成绩从高到低择优录取，文化课成绩相同时，按照专业成绩从高到低择优录取；音乐类专业（音乐表演、音乐教育）和舞蹈编导专业进档考生按照专业成绩从高到低择优录取，专业成绩相同时，按照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录取原则为：根据各行当计划（详见当年高考填报志愿指南）按专业成绩择优录取。专业成绩相同时，按照文化课成绩择优录取。计划调整原则为：各行当计划如有缺额，按行当顺序（详见当年高考填报志愿指南）依次增加至有生源行当，每个行当至多增加</w:t>
      </w:r>
      <w:r>
        <w:rPr>
          <w:rFonts w:ascii="Times New Roman" w:eastAsia="Times New Roman" w:hAnsi="Times New Roman" w:cs="Times New Roman"/>
        </w:rPr>
        <w:t>1</w:t>
      </w:r>
      <w:r>
        <w:rPr>
          <w:rFonts w:ascii="SimSun" w:eastAsia="SimSun" w:hAnsi="SimSun" w:cs="SimSun"/>
        </w:rPr>
        <w:t>人，如还有缺额则依次增加至钢琴和声乐。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在内蒙古自治区招收普通类专业实行招生计划</w:t>
      </w:r>
      <w:r>
        <w:rPr>
          <w:rFonts w:ascii="Times New Roman" w:eastAsia="Times New Roman" w:hAnsi="Times New Roman" w:cs="Times New Roman"/>
        </w:rPr>
        <w:t>1:1</w:t>
      </w:r>
      <w:r>
        <w:rPr>
          <w:rFonts w:ascii="SimSun" w:eastAsia="SimSun" w:hAnsi="SimSun" w:cs="SimSun"/>
        </w:rPr>
        <w:t>范围内按专业志愿排队录取；招收艺术类专业时，考生达到文化课和专业课相应批次的录取最低控制分数线，美术类专业按文化课成绩排序从高到低择优录取，音乐类专业使用专业课统考成绩从高到低择优录取，排序后按专业志愿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专升本各专业录取原则：根据考生所报专业，按文化课成绩从高到低择优录取。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录取结果按教育部和各省（市）的有关规定及时公布，考生可登陆学校网站进行查询。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学校录取的考生，经各省（市）招生主管部门审批后，由学校寄发录取通知书。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报到时，学校将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个月内将按照国家招生规定进行复查。复查中发现学生存在弄虚作假、徇私舞弊等情形的，确定为复查不合格，取消学籍；情节严重的，将移交有关部门调查处理。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学校各专业学费及公寓住宿费，严格执行山西省晋发改收费发【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为鼓励学生德智体美劳全面发展，遵照国家政策，学校设有国家奖学金、国家励志奖学金、国家助学金，每学年评选一次；同时学校设立优秀学生一、二、三等奖学金和特别贡献奖学金，每学期评选一次。对于贫困学生学校设有勤工助学岗位，给予一定的资助</w:t>
      </w:r>
      <w:r>
        <w:rPr>
          <w:rFonts w:ascii="Times New Roman" w:eastAsia="Times New Roman" w:hAnsi="Times New Roman" w:cs="Times New Roman"/>
        </w:rPr>
        <w:t>;</w:t>
      </w:r>
      <w:r>
        <w:rPr>
          <w:rFonts w:ascii="SimSun" w:eastAsia="SimSun" w:hAnsi="SimSun" w:cs="SimSun"/>
        </w:rPr>
        <w:t>对于特别贫困学生，由学生本人申请，学校审核，可减免学费。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学生在学校规定的学习年限内，修完教育教学计划规定内容，成绩合格，并在德智体美劳各方面达到学校毕业要求者，准予毕业，颁发太原学院毕业证书；符合学士学位授予条件者，颁发太原学院学士学位证书。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www.tyu.edu.cn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0351-8378227 0351-8378226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 0351-8378227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二〇二〇年六月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71.html" TargetMode="External" /><Relationship Id="rId14" Type="http://schemas.openxmlformats.org/officeDocument/2006/relationships/hyperlink" Target="http://www.gk114.com/a/gxzs/zszc/shanxi/2020/0703/17370.html" TargetMode="External" /><Relationship Id="rId15" Type="http://schemas.openxmlformats.org/officeDocument/2006/relationships/hyperlink" Target="http://www.gk114.com/a/gxzs/zszc/shanxi/2020/0703/17369.html" TargetMode="External" /><Relationship Id="rId16" Type="http://schemas.openxmlformats.org/officeDocument/2006/relationships/hyperlink" Target="http://www.gk114.com/a/gxzs/zszc/shanxi/2020/0703/17368.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16.html" TargetMode="External" /><Relationship Id="rId5" Type="http://schemas.openxmlformats.org/officeDocument/2006/relationships/hyperlink" Target="http://www.gk114.com/a/gxzs/zszc/shanxi/2020/0703/1731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