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太原师范学院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 第一章  总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保证学校本科招生工作顺利进行，规范招生行为，维护考生合法权益，根据《中华人民共和国教育法》、《中华人民共和国高等教育法》等相关法律及教育部和山西省对普通高等学校招生工作有关规定，结合学校实际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 </w:t>
      </w:r>
      <w:r>
        <w:rPr>
          <w:rFonts w:ascii="Microsoft YaHei" w:eastAsia="Microsoft YaHei" w:hAnsi="Microsoft YaHei" w:cs="Microsoft YaHei"/>
          <w:color w:val="333333"/>
        </w:rPr>
        <w:t>本章程适用于太原师范学院本科招生工作。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太原师范学院招生工作贯彻“公平竞争、公正选拔、公开程序，德智体美劳全面考核、综合评价、择优录取”的原则。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太原师范学院招生工作接受纪检监察部门、考生、家长、新闻媒体以及社会各界的监督。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 第二章  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学校全称：太原师范学院  学校代码：10119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办学类型：普通高等学校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主管部门：山西省教育厅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学校地址：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山西省太原市南内环街189号（南内环校区）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山西省晋中市榆次区大学街319号（魏榆校区）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第三章 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 </w:t>
      </w:r>
      <w:r>
        <w:rPr>
          <w:rFonts w:ascii="Microsoft YaHei" w:eastAsia="Microsoft YaHei" w:hAnsi="Microsoft YaHei" w:cs="Microsoft YaHei"/>
          <w:color w:val="333333"/>
        </w:rPr>
        <w:t>太原师范学院成立本科招生工作领导组，负责学校本科招生工作，制定招生政策和招生计划，讨论决定招生工作重大事宜。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 </w:t>
      </w:r>
      <w:r>
        <w:rPr>
          <w:rFonts w:ascii="Microsoft YaHei" w:eastAsia="Microsoft YaHei" w:hAnsi="Microsoft YaHei" w:cs="Microsoft YaHei"/>
          <w:color w:val="333333"/>
        </w:rPr>
        <w:t>太原师范学院招生办公室是组织和实施招生工作的常设机构，具体负责学校本科招生的日常工作。招生办公室设在教务部。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第四章 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学校根据省教育厅下达的招生事业计划，综合考虑办学目标、办学条件、社会需求、生源质量、近几年招生计划执行情况和毕业生就业情况等因素，在参考往年分省招生计划的基础上，按照“优化专业分配结构，相对稳定”的方法，制定学校2023年分省分专业来源计划，报省教育厅审核备案，并通过各省（自治区、直辖市）招生主管部门、学校网站等形式向考生公布。按照教育部有关规定，我校将预留不超过本科招生计划总数1%的招生计划，用于调节各省上线生源的不平衡及解决同分考生的录取问题，使用预留计划坚持集体议事、集体决策、公开透明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第五章  录  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 </w:t>
      </w:r>
      <w:r>
        <w:rPr>
          <w:rFonts w:ascii="Microsoft YaHei" w:eastAsia="Microsoft YaHei" w:hAnsi="Microsoft YaHei" w:cs="Microsoft YaHei"/>
          <w:color w:val="333333"/>
        </w:rPr>
        <w:t>学校严格执行国家招生录取政策，按照“学校负责，招办监督”的原则，在各省（自治区、直辖市）招生委员会具体组织下进行录取，坚持实施“阳光工程”。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 </w:t>
      </w:r>
      <w:r>
        <w:rPr>
          <w:rFonts w:ascii="Microsoft YaHei" w:eastAsia="Microsoft YaHei" w:hAnsi="Microsoft YaHei" w:cs="Microsoft YaHei"/>
          <w:color w:val="333333"/>
        </w:rPr>
        <w:t>学校对学生的体检要求按照教育部等部门印发的《普通高等学校招生体检工作指导意见》及有关补充规定执行。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 </w:t>
      </w:r>
      <w:r>
        <w:rPr>
          <w:rFonts w:ascii="Microsoft YaHei" w:eastAsia="Microsoft YaHei" w:hAnsi="Microsoft YaHei" w:cs="Microsoft YaHei"/>
          <w:color w:val="333333"/>
        </w:rPr>
        <w:t>学校根据各省（自治区、直辖市）生源情况，确定投档比例。在顺序志愿投档批次，一般控制在招生计划的120%以内；在平行志愿投档批次，一般控制在招生计划的105%以内。在平行志愿投档批次，已投档的考生，在思想政治品德考核合格、体检合格且服从专业调剂的情况下，原则上不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 </w:t>
      </w:r>
      <w:r>
        <w:rPr>
          <w:rFonts w:ascii="Microsoft YaHei" w:eastAsia="Microsoft YaHei" w:hAnsi="Microsoft YaHei" w:cs="Microsoft YaHei"/>
          <w:color w:val="333333"/>
        </w:rPr>
        <w:t>学校认可各省（自治区、直辖市）招生主管部门根据教育部相关政策给予考生的政策性加分。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 </w:t>
      </w:r>
      <w:r>
        <w:rPr>
          <w:rFonts w:ascii="Microsoft YaHei" w:eastAsia="Microsoft YaHei" w:hAnsi="Microsoft YaHei" w:cs="Microsoft YaHei"/>
          <w:color w:val="333333"/>
        </w:rPr>
        <w:t>普通类专业录取办法：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进档考生按照“分数优先，遵循志愿”原则，根据投档成绩和专业志愿，由高分至低分顺序录取分配专业，各专业志愿之间不设级差。对所报专业均不能安排又不服从调剂的考生将予以退档。对分数相同考生文科按语文-数学-文综、理科按数学-语文-理综顺序录取。生源地省（自治区、直辖市）招办对同分考生有其它特殊规定的，按生源地省（自治区、直辖市）招办规定执行。在内蒙古自治区实行“招生计划1：1范围内按专业志愿排队录取”的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浙江、山东、天津、海南、河北、辽宁、江苏、福建、湖北、湖南、重庆等实行高考改革的省份，各招生专业选考科目要求以各省（自治区、直辖市）教育考试院或招生部门公布为准，录取时执行各省（自治区、直辖市）相关规定。进档考生按照“分数优先，遵循志愿”原则，根据投档成绩和专业志愿，由高分至低分顺序录取分配专业，同分考生按语文-数学-外语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 </w:t>
      </w:r>
      <w:r>
        <w:rPr>
          <w:rFonts w:ascii="Microsoft YaHei" w:eastAsia="Microsoft YaHei" w:hAnsi="Microsoft YaHei" w:cs="Microsoft YaHei"/>
          <w:color w:val="333333"/>
        </w:rPr>
        <w:t>体育类专业（体育教育、社会体育指导与管理）录取办法：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（一）文化成绩及专业成绩均达到生源省（自治区、直辖市）相应科类和批次的最低录取控制分数线。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执行生源省（自治区、直辖市）投档规则，进档考生按照“分数优先，遵循志愿”原则，根据专业成绩和专业志愿，由高分至低分顺序录取分配专业，专业成绩相同则按文化成绩总分-外语-语文-数学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 </w:t>
      </w:r>
      <w:r>
        <w:rPr>
          <w:rFonts w:ascii="Microsoft YaHei" w:eastAsia="Microsoft YaHei" w:hAnsi="Microsoft YaHei" w:cs="Microsoft YaHei"/>
          <w:color w:val="333333"/>
        </w:rPr>
        <w:t>艺术类专业录取办法：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（一）文化成绩及专业成绩均达到生源省（自治区、直辖市）相应科类和批次的最低录取控制分数线，专业成绩使用各生源省（自治区、直辖市）统考或联考成绩。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（二）执行生源省（自治区、直辖市）该类专业投档规则，对进档考生按“分数优先、遵循志愿”的原则按如下方式录取：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1.美术与设计学类（美术学、动画、视觉传达设计、环境设计）专业、书法学专业根据专业成绩和专业志愿，由高分至低分顺序录取分配专业，专业成绩相同则按文化成绩总分-外语-语文-数学顺序录取。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舞蹈学类（舞蹈学、舞蹈编导、舞蹈表演）专业根据专业成绩和专业志愿，由高分至低分顺序录取分配专业，专业成绩相同则按文化成绩总分-外语-语文-数学顺序录取。舞蹈表演专业要求男性考生身高不低于1.70米，女性考生身高不低于1.60米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3.作曲与作曲技术理论专业只招器乐考生，不分行当按专业成绩择优录取。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4.音乐学、音乐表演专业在山西省分行当按专业成绩择优录取，其他省（市、区）考生不分行当按专业成绩择优录取。专业成绩相同则按文化成绩总分-外语-语文-数学顺序录取。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音乐学、音乐表演专业的各个行当中，如一志愿缺额10 人以下（含 10 人），则全部增加至钢琴；如一志愿缺额 10 人以上或钢琴生源不足，则将剩余计划按顺序依次增加 1 人至下列有生源行当：声乐、低音提琴、大提琴、唢呐、双簧管、大管、二胡、扬琴、中提琴、圆号、打击乐、竹笛、单簧管、长笛，依次重复，直至计划完成。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5.戏剧影视文学专业按文化成绩从高到低择优录取，文化成绩相同则按专业成绩-外语-语文-数学顺序录取。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6.航空服务艺术与管理专业按综合成绩从高到低择优录取，综合成绩相同则按专业成绩-外语-语文-数学顺序录取。综合成绩计算方法：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综合成绩=文化课成绩/文化课总分*100*0.4+专业成绩/专业总分*100*0.6。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第二十一条 </w:t>
      </w:r>
      <w:r>
        <w:rPr>
          <w:rFonts w:ascii="Microsoft YaHei" w:eastAsia="Microsoft YaHei" w:hAnsi="Microsoft YaHei" w:cs="Microsoft YaHei"/>
          <w:color w:val="333333"/>
        </w:rPr>
        <w:t>专升本各专业录取按山西省招生考试管理中心相关文件规定执行。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第二十二条 </w:t>
      </w:r>
      <w:r>
        <w:rPr>
          <w:rFonts w:ascii="Microsoft YaHei" w:eastAsia="Microsoft YaHei" w:hAnsi="Microsoft YaHei" w:cs="Microsoft YaHei"/>
          <w:color w:val="333333"/>
        </w:rPr>
        <w:t>高水平运动队录取严格执行教育部有关规定，经教育部阳光高考平台公示的考生，按照我校高水平运动队招生简章规定录取。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第二十三条 </w:t>
      </w:r>
      <w:r>
        <w:rPr>
          <w:rFonts w:ascii="Microsoft YaHei" w:eastAsia="Microsoft YaHei" w:hAnsi="Microsoft YaHei" w:cs="Microsoft YaHei"/>
          <w:color w:val="333333"/>
        </w:rPr>
        <w:t>公费师范生录取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我校2023年在山西省招收公费师范生，具体计划另行公布。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文史、理工类专业录取：进档考生分生源地市根据各专业计划按照“分数优先，遵循志愿”原则，根据投档成绩和专业志愿，由高分至低分顺序录取分配专业，对分数相同考生文科按语文-数学-文综-外语、理科按数学-语文-理综-外语顺序择优录取。对所报专业均不能安排又不服从调剂的考生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体育教育专业录取：进档考生分生源地市按专业成绩从高到低安排专业择优录取，专业成绩相同则按文化成绩总分-外语-语文-数学顺序录取。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录取时生源所在地市以高考电子档案中户口所在地为准。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第二十四条 </w:t>
      </w:r>
      <w:r>
        <w:rPr>
          <w:rFonts w:ascii="Microsoft YaHei" w:eastAsia="Microsoft YaHei" w:hAnsi="Microsoft YaHei" w:cs="Microsoft YaHei"/>
          <w:color w:val="333333"/>
        </w:rPr>
        <w:t>优师专项录取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2023年承担地方优师专项计划师范生招生及培养任务，具体计划另行公布。录取按照定向县生源优先原则，先参照定向县生源报考考生分数，根据定向县各专业计划按照“分数优先，遵循志愿”原则，根据投档成绩和专业志愿，由高分至低分顺序录取分配专业，生源不足时，参照定向县所在市生源报考考生分数，根据定向县各专业计划按照“分数优先，遵循志愿”原则录取。分数相同考生文科按语文-数学-文综-外语、理科按数学-语文-理综-外语顺序择优录取。对所报专业均不能安排又不服从调剂的考生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录取时生源所在地以高考电子档案中户口所在地为准。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第六章  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第二十五条 </w:t>
      </w:r>
      <w:r>
        <w:rPr>
          <w:rFonts w:ascii="Microsoft YaHei" w:eastAsia="Microsoft YaHei" w:hAnsi="Microsoft YaHei" w:cs="Microsoft YaHei"/>
          <w:color w:val="333333"/>
        </w:rPr>
        <w:t>学生毕业时，符合我校颁发毕业证书条件者，颁发太原师范学院毕业证书；符合我校学士学位授予条件者，颁发太原师范学院学士学位证书。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第七章  收  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第二十六条 </w:t>
      </w:r>
      <w:r>
        <w:rPr>
          <w:rFonts w:ascii="Microsoft YaHei" w:eastAsia="Microsoft YaHei" w:hAnsi="Microsoft YaHei" w:cs="Microsoft YaHei"/>
          <w:color w:val="333333"/>
        </w:rPr>
        <w:t>收费标准严格按照《山西省发展和改革委员会 山西省财政厅 山西省教育厅 关于调整公办普通高校本科学费标准的通知》（晋发改收费发〔2018〕293号）文件批准的标准执行，开学前学费标准若发生调整，我校将按照新批准的标准执行。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                                  第八章  其  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第二十七条 </w:t>
      </w:r>
      <w:r>
        <w:rPr>
          <w:rFonts w:ascii="Microsoft YaHei" w:eastAsia="Microsoft YaHei" w:hAnsi="Microsoft YaHei" w:cs="Microsoft YaHei"/>
          <w:color w:val="333333"/>
        </w:rPr>
        <w:t>录取通知书签发人：梁卫国  职务：院长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第二十八条</w:t>
      </w:r>
      <w:r>
        <w:rPr>
          <w:rFonts w:ascii="Microsoft YaHei" w:eastAsia="Microsoft YaHei" w:hAnsi="Microsoft YaHei" w:cs="Microsoft YaHei"/>
          <w:color w:val="333333"/>
        </w:rPr>
        <w:t> 我校公共外语课为英语，外语统考语种为非英语的考生请谨慎填报专业志愿。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第二十九条</w:t>
      </w:r>
      <w:r>
        <w:rPr>
          <w:rFonts w:ascii="Microsoft YaHei" w:eastAsia="Microsoft YaHei" w:hAnsi="Microsoft YaHei" w:cs="Microsoft YaHei"/>
          <w:color w:val="333333"/>
        </w:rPr>
        <w:t> 激励、扶助措施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（一）我校为学生设立的奖学金有：国家奖学金、国家励志奖学金、校内奖学金等。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（二）对家庭经济困难的学生，根据国家政策通过奖、助学金、设置勤工助学岗位，助学贷款（在当地生源地解决）等方式予以资助。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第三十条 </w:t>
      </w:r>
      <w:r>
        <w:rPr>
          <w:rFonts w:ascii="Microsoft YaHei" w:eastAsia="Microsoft YaHei" w:hAnsi="Microsoft YaHei" w:cs="Microsoft YaHei"/>
          <w:color w:val="333333"/>
        </w:rPr>
        <w:t>新生须持录取通知书，按学校有关要求在规定期限到校办理入学手续。因故不能按期入学者，应向学校请假。未请假或请假逾期者，除因不可抗力等正当事由外，视为自愿放弃入学资格。 新生入学后，按照国家和学校有关规定进行入学资格复查，复查不合格的学生，依据有关规定处理，直至取消入学资格。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第三十一条 </w:t>
      </w:r>
      <w:r>
        <w:rPr>
          <w:rFonts w:ascii="Microsoft YaHei" w:eastAsia="Microsoft YaHei" w:hAnsi="Microsoft YaHei" w:cs="Microsoft YaHei"/>
          <w:color w:val="333333"/>
        </w:rPr>
        <w:t>本章程自公布起开始执行。学校原公布的有关招生工作的制度、规定如与本章程相冲突，以本章程为准；本章程若有与国家有关政策不一致之处，以国家和上级有关政策为准。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第三十二条 </w:t>
      </w:r>
      <w:r>
        <w:rPr>
          <w:rFonts w:ascii="Microsoft YaHei" w:eastAsia="Microsoft YaHei" w:hAnsi="Microsoft YaHei" w:cs="Microsoft YaHei"/>
          <w:color w:val="333333"/>
        </w:rPr>
        <w:t>招生网址、电话: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招生网址：https://zs.tynu.edu.cn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电子信箱：zs@tynu.edu.cn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咨询电话：0351-2886335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第三十三条</w:t>
      </w:r>
      <w:r>
        <w:rPr>
          <w:rFonts w:ascii="Microsoft YaHei" w:eastAsia="Microsoft YaHei" w:hAnsi="Microsoft YaHei" w:cs="Microsoft YaHei"/>
          <w:color w:val="333333"/>
        </w:rPr>
        <w:t> 本章程由太原师范学院招生办公室解释。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              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                                                      太原师范学院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                                         2023年4月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晋中学院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晋中学院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长治学院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忻州师范学院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太原学院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吕梁学院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山西省财政税务专科学校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819.html" TargetMode="External" /><Relationship Id="rId11" Type="http://schemas.openxmlformats.org/officeDocument/2006/relationships/hyperlink" Target="http://www.gk114.com/a/gxzs/zszc/shanxi/2023/0521/27818.html" TargetMode="External" /><Relationship Id="rId12" Type="http://schemas.openxmlformats.org/officeDocument/2006/relationships/hyperlink" Target="http://www.gk114.com/a/gxzs/zszc/shanxi/2023/0521/27817.html" TargetMode="External" /><Relationship Id="rId13" Type="http://schemas.openxmlformats.org/officeDocument/2006/relationships/hyperlink" Target="http://www.gk114.com/a/gxzs/zszc/shanxi/2023/0521/27816.html" TargetMode="External" /><Relationship Id="rId14" Type="http://schemas.openxmlformats.org/officeDocument/2006/relationships/hyperlink" Target="http://www.gk114.com/a/gxzs/zszc/shanxi/2023/0521/27815.html" TargetMode="External" /><Relationship Id="rId15" Type="http://schemas.openxmlformats.org/officeDocument/2006/relationships/hyperlink" Target="http://www.gk114.com/a/gxzs/zszc/shanxi/2023/0521/27798.html" TargetMode="External" /><Relationship Id="rId16" Type="http://schemas.openxmlformats.org/officeDocument/2006/relationships/hyperlink" Target="http://www.gk114.com/a/gxzs/zszc/shanxi/2023/0514/27625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824.html" TargetMode="External" /><Relationship Id="rId5" Type="http://schemas.openxmlformats.org/officeDocument/2006/relationships/hyperlink" Target="http://www.gk114.com/a/gxzs/zszc/shanxi/2023/0521/27826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823.html" TargetMode="External" /><Relationship Id="rId8" Type="http://schemas.openxmlformats.org/officeDocument/2006/relationships/hyperlink" Target="http://www.gk114.com/a/gxzs/zszc/shanxi/2023/0521/27822.html" TargetMode="External" /><Relationship Id="rId9" Type="http://schemas.openxmlformats.org/officeDocument/2006/relationships/hyperlink" Target="http://www.gk114.com/a/gxzs/zszc/shanxi/2023/0521/278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