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太原科技大学</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校高考招生工作的顺利进行，规范招生行为，维护考生合法权益，根据《中华人民共和国教育法》、《中华人民共和国高等教育法》和教育部有关规定以及山西省有关要求，结合我校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学校名称：太原科技大学</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10109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录取通知书签发人：卫英慧，太原科技大学校长。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办学地点：太原市万柏林区窊流路</w:t>
      </w:r>
      <w:r>
        <w:rPr>
          <w:rFonts w:ascii="Times New Roman" w:eastAsia="Times New Roman" w:hAnsi="Times New Roman" w:cs="Times New Roman"/>
        </w:rPr>
        <w:t>66</w:t>
      </w:r>
      <w:r>
        <w:rPr>
          <w:rFonts w:ascii="SimSun" w:eastAsia="SimSun" w:hAnsi="SimSun" w:cs="SimSun"/>
        </w:rPr>
        <w:t>号（主校区）；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晋城市泽州县金村镇陵沁线</w:t>
      </w:r>
      <w:r>
        <w:rPr>
          <w:rFonts w:ascii="Times New Roman" w:eastAsia="Times New Roman" w:hAnsi="Times New Roman" w:cs="Times New Roman"/>
        </w:rPr>
        <w:t>666</w:t>
      </w:r>
      <w:r>
        <w:rPr>
          <w:rFonts w:ascii="SimSun" w:eastAsia="SimSun" w:hAnsi="SimSun" w:cs="SimSun"/>
        </w:rPr>
        <w:t>号（晋城校区）。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学校成立招生委员会，负责全校的普通本科招生工作，制订学校招生计划，确定招生政策和规则，决定招生重大事项等有关招生事宜。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招生办公室是组织和实施招生及其相关工作的常设机构，设在教务处，具体负责普通本科招生的日常工作。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进档考生按分数优先的原则进行专业分配，专业间无分数级差。对加分投档考生按照教育部和各省级招办规定执行，录取时以实际考分为准。若考生总分相同时按各省（自治区、直辖市）确定的同分排序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江苏考生采用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的排序办法</w:t>
      </w:r>
      <w:r>
        <w:rPr>
          <w:rFonts w:ascii="Times New Roman" w:eastAsia="Times New Roman" w:hAnsi="Times New Roman" w:cs="Times New Roman"/>
        </w:rPr>
        <w:t>,</w:t>
      </w:r>
      <w:r>
        <w:rPr>
          <w:rFonts w:ascii="SimSun" w:eastAsia="SimSun" w:hAnsi="SimSun" w:cs="SimSun"/>
        </w:rPr>
        <w:t>即对进档考生按投档成绩由高到低排序，投档分相同时，参考考生的选测科目排序。江苏省文理科考生学业水平测试科目的等级要求为选测科目达到</w:t>
      </w:r>
      <w:r>
        <w:rPr>
          <w:rFonts w:ascii="Times New Roman" w:eastAsia="Times New Roman" w:hAnsi="Times New Roman" w:cs="Times New Roman"/>
        </w:rPr>
        <w:t>2B</w:t>
      </w:r>
      <w:r>
        <w:rPr>
          <w:rFonts w:ascii="SimSun" w:eastAsia="SimSun" w:hAnsi="SimSun" w:cs="SimSun"/>
        </w:rPr>
        <w:t>，必测科目达到</w:t>
      </w:r>
      <w:r>
        <w:rPr>
          <w:rFonts w:ascii="Times New Roman" w:eastAsia="Times New Roman" w:hAnsi="Times New Roman" w:cs="Times New Roman"/>
        </w:rPr>
        <w:t>4C1</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内蒙古考生实行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根据各省（自治区、直辖市）的招生计划和考生情况，确定提档比例。按照顺序志愿投档的批次，调档比例原则上控制在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英语专业只招收英语语种考生；其它专业可以提供英语、日语、德语的外语语种教学。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专业的录取原则：艺术省统考或联考成绩达到所在省（自治区、直辖市）划定的艺术类本科合格线，依据高考文化成绩从高到低录取。若文化成绩并列，则按艺术成绩择优录取；我校艺术类只招收艺术（文）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社会体育指导与管理专业的录取原则：文化成绩达到所在省（自治区、直辖市）体育类本科相应批次控制分数线后，按体育专业成绩从高到低录取。若专业成绩并列，则按文化课成绩择优录取。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对考生体检的要求按照教育部、卫计委、中国残疾人联合会印发的《普通高等学校体检工作指导意见》执行。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计划分配的原则和办法是根据学校的总体发展规划、教学资源、专业结构和发展趋势，结合各学院提出的建议编制招生计划。学校执行教育部和山西省教育厅核准备案的分省（自治区、直辖市）分专业招生计划，招生计划以各省级招生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根据教育部文件精神，编制预留计划</w:t>
      </w:r>
      <w:r>
        <w:rPr>
          <w:rFonts w:ascii="Times New Roman" w:eastAsia="Times New Roman" w:hAnsi="Times New Roman" w:cs="Times New Roman"/>
        </w:rPr>
        <w:t>30</w:t>
      </w:r>
      <w:r>
        <w:rPr>
          <w:rFonts w:ascii="SimSun" w:eastAsia="SimSun" w:hAnsi="SimSun" w:cs="SimSun"/>
        </w:rPr>
        <w:t>人，用于调节各地统考上线生源的不平衡，解决由于平行志愿产生的生源地上线同分段考生问题。预留计划的使用坚持集体议事、集体决策、公开透明的原则。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学生毕业时符合太原科技大学颁发毕业证书条件者，颁发太原科技大学毕业证书；符合太原科技大学学位授予条件者，颁发太原科技大学学位证书。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学费严格按照晋发改收费发</w:t>
      </w:r>
      <w:r>
        <w:rPr>
          <w:rFonts w:ascii="Times New Roman" w:eastAsia="Times New Roman" w:hAnsi="Times New Roman" w:cs="Times New Roman"/>
        </w:rPr>
        <w:t>[2018]293</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我校为在校学生设有多种奖助学金，用于奖励品学兼优的优秀学生；经济困难学生还可以申请国家助学贷款或参加学校提供的勤工助学等工作。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新生入校后进行入学资格复查，凡不符合报考条件或弄虚作假者，作取消学籍处理。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本章程适用于我校普通本科招生工作，由太原科技大学负责解释。本章程若有与国家有关政策不一致之处，以国家有关政策为准。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太原科技大学本科招生网：</w:t>
      </w:r>
      <w:r>
        <w:rPr>
          <w:rFonts w:ascii="Times New Roman" w:eastAsia="Times New Roman" w:hAnsi="Times New Roman" w:cs="Times New Roman"/>
        </w:rPr>
        <w:t xml:space="preserve">http://zsb.tyust.edu.cn/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0351-6963310,6998011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0351-6998013 </w:t>
      </w:r>
    </w:p>
    <w:p>
      <w:pPr>
        <w:rPr>
          <w:rFonts w:ascii="Times New Roman" w:eastAsia="Times New Roman" w:hAnsi="Times New Roman" w:cs="Times New Roman"/>
        </w:rPr>
      </w:pPr>
      <w:r>
        <w:rPr>
          <w:rFonts w:ascii="SimSun" w:eastAsia="SimSun" w:hAnsi="SimSun" w:cs="SimSun"/>
        </w:rPr>
        <w:t>通讯地址：太原市万柏林区西中环窊流路</w:t>
      </w:r>
      <w:r>
        <w:rPr>
          <w:rFonts w:ascii="Times New Roman" w:eastAsia="Times New Roman" w:hAnsi="Times New Roman" w:cs="Times New Roman"/>
        </w:rPr>
        <w:t>66</w:t>
      </w:r>
      <w:r>
        <w:rPr>
          <w:rFonts w:ascii="SimSun" w:eastAsia="SimSun" w:hAnsi="SimSun" w:cs="SimSun"/>
        </w:rPr>
        <w:t>号太原科技大学招生办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030024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3.html" TargetMode="External" /><Relationship Id="rId11" Type="http://schemas.openxmlformats.org/officeDocument/2006/relationships/hyperlink" Target="http://www.gk114.com/a/gxzs/zszc/shanxi/2020/0703/17362.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58.html" TargetMode="External" /><Relationship Id="rId14" Type="http://schemas.openxmlformats.org/officeDocument/2006/relationships/hyperlink" Target="http://www.gk114.com/a/gxzs/zszc/shanxi/2020/0703/17355.html" TargetMode="External" /><Relationship Id="rId15" Type="http://schemas.openxmlformats.org/officeDocument/2006/relationships/hyperlink" Target="http://www.gk114.com/a/gxzs/zszc/shanxi/2020/0703/17353.html" TargetMode="External" /><Relationship Id="rId16" Type="http://schemas.openxmlformats.org/officeDocument/2006/relationships/hyperlink" Target="http://www.gk114.com/a/gxzs/zszc/shanxi/2020/0703/1735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12.html" TargetMode="External" /><Relationship Id="rId5" Type="http://schemas.openxmlformats.org/officeDocument/2006/relationships/hyperlink" Target="http://www.gk114.com/a/gxzs/zszc/shanxi/2020/0703/1731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