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宁波工程学院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根据《中华人民共和国教育法》、《中华人民共和国高等教育法》、教育部《关于做好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年普通高等学校招生工作的通知》和《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年普通高等学校招生工作规定》，本着公平、公正、公开的原则，制定本章程。本章程适用于宁波工程学院普通本科层次的招生录取。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学校校名：宁波工程学院，院校国标代码</w:t>
      </w:r>
      <w:r>
        <w:rPr>
          <w:rFonts w:ascii="Times New Roman" w:eastAsia="Times New Roman" w:hAnsi="Times New Roman" w:cs="Times New Roman"/>
        </w:rPr>
        <w:t>11058</w:t>
      </w:r>
      <w:r>
        <w:rPr>
          <w:rFonts w:ascii="SimSun" w:eastAsia="SimSun" w:hAnsi="SimSun" w:cs="SimSun"/>
        </w:rPr>
        <w:t>，浙江省代码</w:t>
      </w:r>
      <w:r>
        <w:rPr>
          <w:rFonts w:ascii="Times New Roman" w:eastAsia="Times New Roman" w:hAnsi="Times New Roman" w:cs="Times New Roman"/>
        </w:rPr>
        <w:t>0028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办学地址：宁波市江北区风华路</w:t>
      </w:r>
      <w:r>
        <w:rPr>
          <w:rFonts w:ascii="Times New Roman" w:eastAsia="Times New Roman" w:hAnsi="Times New Roman" w:cs="Times New Roman"/>
        </w:rPr>
        <w:t>201</w:t>
      </w:r>
      <w:r>
        <w:rPr>
          <w:rFonts w:ascii="SimSun" w:eastAsia="SimSun" w:hAnsi="SimSun" w:cs="SimSun"/>
        </w:rPr>
        <w:t>号，其中机械工程学院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杭州湾汽车学院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位于杭州湾校区（杭州湾新区滨海二路</w:t>
      </w:r>
      <w:r>
        <w:rPr>
          <w:rFonts w:ascii="Times New Roman" w:eastAsia="Times New Roman" w:hAnsi="Times New Roman" w:cs="Times New Roman"/>
        </w:rPr>
        <w:t>769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学校性质：公办全日制普通本科高校。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学校创办于</w:t>
      </w:r>
      <w:r>
        <w:rPr>
          <w:rFonts w:ascii="Times New Roman" w:eastAsia="Times New Roman" w:hAnsi="Times New Roman" w:cs="Times New Roman"/>
        </w:rPr>
        <w:t>1983</w:t>
      </w:r>
      <w:r>
        <w:rPr>
          <w:rFonts w:ascii="SimSun" w:eastAsia="SimSun" w:hAnsi="SimSun" w:cs="SimSun"/>
        </w:rPr>
        <w:t>年，是原联邦德国援建我国的四所应用型高校之一，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年入选教育部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卓越工程师教育培养计划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首批实施院校，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年成为浙江省首批应用型建设试点示范本科学校，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年入选国家产教融合发展工程应用型本科试点建设高校，当选为浙江省应用型本科高校联盟理事长单位</w:t>
      </w:r>
      <w:r>
        <w:rPr>
          <w:rFonts w:ascii="Times New Roman" w:eastAsia="Times New Roman" w:hAnsi="Times New Roman" w:cs="Times New Roman"/>
        </w:rPr>
        <w:t>,2018</w:t>
      </w:r>
      <w:r>
        <w:rPr>
          <w:rFonts w:ascii="SimSun" w:eastAsia="SimSun" w:hAnsi="SimSun" w:cs="SimSun"/>
        </w:rPr>
        <w:t>年承担国家首批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新工科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研究与实践项目。学校以全面服务区域发展为宗旨，紧贴地方经济社会发展设置专业，具有特色鲜明的专业优势，着力培养应用开发型高级工程技术与管理人才。学校现有国家级工程实践教育中心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个，国家级特色专业建设点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个，省级重点建设专业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个，有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个专业通过国际专业认证。学校拥有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个省一流学科，曾获多项国家科技进步奖、国家技术发明奖等重大奖项。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招生批次：浙江省不分批次，按照考生高考总分，分段填报志愿、分段录取，其他省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第二批次普通本科。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本着公平、公正、公开的原则，综合衡量德智体美，择优录取。在录取过程中，实行学校负责、省教育考试院监督的体制。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、学校实行网络远程录取。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、学校志愿投档执行各省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的招生录取政策，根据生源情况，确定提档比例。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、报考我校的浙江省普通类考生，以考生符合所填报志愿的选考科目范围为前提，根据考生高考总分，实行专业平行志愿投档，直接投到考生所填报的具体专业（类）。投档比例为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，高考总分相同的考生，依据位次、志愿顺序投档。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、其他各省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根据我校在该省的分专业招生计划数，进档考生按照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的原则，按投档成绩择优录取。考生考试成绩按各省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考试院（招生办）规定的考试科目投档成绩计算。最低录取分数线以上，第一专业志愿不能满足的考生，按其第二专业志愿投档；仍不能满足的按第三专业志愿投档，依次类推。当所有专业志愿均不能满足时，将从服从专业调剂的考生中随机调录到录取计划未满的专业；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报考我校江苏省普通类考生的选测科目要求为</w:t>
      </w:r>
      <w:r>
        <w:rPr>
          <w:rFonts w:ascii="Times New Roman" w:eastAsia="Times New Roman" w:hAnsi="Times New Roman" w:cs="Times New Roman"/>
        </w:rPr>
        <w:t>2B</w:t>
      </w:r>
      <w:r>
        <w:rPr>
          <w:rFonts w:ascii="SimSun" w:eastAsia="SimSun" w:hAnsi="SimSun" w:cs="SimSun"/>
        </w:rPr>
        <w:t>及以上，必测科目的要求为</w:t>
      </w:r>
      <w:r>
        <w:rPr>
          <w:rFonts w:ascii="Times New Roman" w:eastAsia="Times New Roman" w:hAnsi="Times New Roman" w:cs="Times New Roman"/>
        </w:rPr>
        <w:t>4C</w:t>
      </w:r>
      <w:r>
        <w:rPr>
          <w:rFonts w:ascii="SimSun" w:eastAsia="SimSun" w:hAnsi="SimSun" w:cs="SimSun"/>
        </w:rPr>
        <w:t>及以上。进档考生按照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的方式确定录取专业。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对享受政策性加分的考生，可按所在省（自治区、直辖市）考试院（招生办）的规定加分提档，但确定录取专业时以考试成绩为准。在考试成绩相等的情况下，优先录取有政策性加分的考生。如若考试成绩和政策性加分都相等，则优先录取与报考专业相关科目分数高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、往届生的录取按照各省（自治区、直辖市）考试院（招生办）的有关规定办理，与应届生一视同仁。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、录取时，无男女比例限制、无专业加试要求。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建筑学专业和工业设计专业考生须有一定的绘画基础。对于建筑学专业和工业设计专业录取的考生，入学后加试美术，不合格者在校内进行专业调整。若生源所在省（自治区、直辖市）要求加试徒手画，则考生必须参加加试，加试成绩作为录取的参考依据，但不计入考生考试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、中外合作办学专业（类）要求英语单科考试成绩不低于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、新生入学后进行复查，经复查发现不符合招生条件和违规的学生将取消其入学资格。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收费标准：执行浙江省、宁波市教育和物价部门制定的收费标准，实行学分制收费办法，新生入学时按学年制学费标准预缴学费。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条件：要求身体健康，体检合格。执行教育部、卫生部、中国残疾人联合会印发的《普通高等学校招生体检工作指导意见》中的有关规定，外语类专业要求考生口齿清楚、听辨灵敏，化工、材料类专业不录取色盲、色弱考生。新生入学后进行体检复查，对不符合体检要求者，按国家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英语类专业只招以英语作为外语考试科目的考生，学校所有专业只以英语作为外语教学语种。学校公共外语为英语，非学习英语考生慎重填报。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化学工程与工艺（绿色化工生产运行控制技术）为浙江省四年制高职试点专业，学生在宁波职业技术学院就读，具体按照浙江省教育厅、省考试院招生工作规定执行。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，招生工作受各级纪检监察部门的监督和指导。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毕业文凭：宁波工程学院毕业文凭。国家承认其相应的普通本科学历，并实行教育部高校学历文凭电子注册。本科毕业生符合条件的授予相应的学士学位。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、宁波工程学院招生工作领导小组：学校主管领导和有关部门负责人组成，负责研究、决定招生有关问题。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、宁波工程学院招生与就业指导办公室：负责组织招生工作的常设机构。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、宁波工程学院招生监察工作组：学校纪检监察部门有关人员组成，负责监督招生录取的全过程。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招生咨询网址：</w:t>
      </w:r>
      <w:r>
        <w:rPr>
          <w:rFonts w:ascii="Times New Roman" w:eastAsia="Times New Roman" w:hAnsi="Times New Roman" w:cs="Times New Roman"/>
        </w:rPr>
        <w:t xml:space="preserve">http://zs.nbut.edu.cn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zsjy@nbut.edu.cn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0574-87616666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87616616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通讯地址：宁波市江北区风华路</w:t>
      </w:r>
      <w:r>
        <w:rPr>
          <w:rFonts w:ascii="Times New Roman" w:eastAsia="Times New Roman" w:hAnsi="Times New Roman" w:cs="Times New Roman"/>
        </w:rPr>
        <w:t>201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315211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本章程由宁波工程学院招生与就业指导办公室负责解释。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年浙江万里学院招生章程（全日制本科）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浙江大学宁波理工学院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年宁波财经学院招生章程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宁波工程学院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宁波职业技术学院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浙江商业职业技术学院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浙江同济科技职业学院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宁波城市职业技术学院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07.html" TargetMode="External" /><Relationship Id="rId11" Type="http://schemas.openxmlformats.org/officeDocument/2006/relationships/hyperlink" Target="http://www.gk114.com/a/gxzs/zszc/zhejiang/2019/0630/10391.html" TargetMode="External" /><Relationship Id="rId12" Type="http://schemas.openxmlformats.org/officeDocument/2006/relationships/hyperlink" Target="http://www.gk114.com/a/gxzs/zszc/zhejiang/2019/0630/10389.html" TargetMode="External" /><Relationship Id="rId13" Type="http://schemas.openxmlformats.org/officeDocument/2006/relationships/hyperlink" Target="http://www.gk114.com/a/gxzs/zszc/zhejiang/2019/0222/6624.html" TargetMode="External" /><Relationship Id="rId14" Type="http://schemas.openxmlformats.org/officeDocument/2006/relationships/hyperlink" Target="http://www.gk114.com/a/gxzs/zszc/zhejiang/2019/0222/6623.html" TargetMode="External" /><Relationship Id="rId15" Type="http://schemas.openxmlformats.org/officeDocument/2006/relationships/hyperlink" Target="http://www.gk114.com/a/gxzs/zszc/zhejiang/2019/0222/6621.html" TargetMode="External" /><Relationship Id="rId16" Type="http://schemas.openxmlformats.org/officeDocument/2006/relationships/hyperlink" Target="http://www.gk114.com/a/gxzs/zszc/zhejiang/2019/0222/6620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21/0602/19682.html" TargetMode="External" /><Relationship Id="rId19" Type="http://schemas.openxmlformats.org/officeDocument/2006/relationships/hyperlink" Target="http://www.gk114.com/a/gxzs/zszc/zhejiang/2021/0610/1981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zhejiang/2019/0222/6604.html" TargetMode="External" /><Relationship Id="rId21" Type="http://schemas.openxmlformats.org/officeDocument/2006/relationships/hyperlink" Target="http://www.gk114.com/a/gxzs/zszc/zhejiang/2019/0222/6618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591.html" TargetMode="External" /><Relationship Id="rId5" Type="http://schemas.openxmlformats.org/officeDocument/2006/relationships/hyperlink" Target="http://www.gk114.com/a/gxzs/zszc/zhejiang/2019/0222/6593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308/18834.html" TargetMode="External" /><Relationship Id="rId8" Type="http://schemas.openxmlformats.org/officeDocument/2006/relationships/hyperlink" Target="http://www.gk114.com/a/gxzs/zszc/zhejiang/2019/0630/10414.html" TargetMode="External" /><Relationship Id="rId9" Type="http://schemas.openxmlformats.org/officeDocument/2006/relationships/hyperlink" Target="http://www.gk114.com/a/gxzs/zszc/zhejiang/2019/0630/1040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