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宁波工程学院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2019-06-30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宁波工程学院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年招生章程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根据《中华人民共和国教育法》、《中华人民共和国高等教育法》、教育部《关于做好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年普通高等学校招生工作的通知》和《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年普通高等学校招生工作规定》，本着公平、公正、公开的原则，制定本章程。本章程适用于宁波工程学院普通本科层次的招生录取。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学校校名：宁波工程学院，院校国标代码</w:t>
      </w:r>
      <w:r>
        <w:rPr>
          <w:rFonts w:ascii="Times New Roman" w:eastAsia="Times New Roman" w:hAnsi="Times New Roman" w:cs="Times New Roman"/>
        </w:rPr>
        <w:t>11058</w:t>
      </w:r>
      <w:r>
        <w:rPr>
          <w:rFonts w:ascii="SimSun" w:eastAsia="SimSun" w:hAnsi="SimSun" w:cs="SimSun"/>
        </w:rPr>
        <w:t>，浙江省代码</w:t>
      </w:r>
      <w:r>
        <w:rPr>
          <w:rFonts w:ascii="Times New Roman" w:eastAsia="Times New Roman" w:hAnsi="Times New Roman" w:cs="Times New Roman"/>
        </w:rPr>
        <w:t>0028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办学地址：宁波市江北区风华路</w:t>
      </w:r>
      <w:r>
        <w:rPr>
          <w:rFonts w:ascii="Times New Roman" w:eastAsia="Times New Roman" w:hAnsi="Times New Roman" w:cs="Times New Roman"/>
        </w:rPr>
        <w:t>201</w:t>
      </w:r>
      <w:r>
        <w:rPr>
          <w:rFonts w:ascii="SimSun" w:eastAsia="SimSun" w:hAnsi="SimSun" w:cs="SimSun"/>
        </w:rPr>
        <w:t>号，其中机械工程学院（杭州湾汽车学院）位于杭州湾校区（杭州湾新区滨海二路</w:t>
      </w:r>
      <w:r>
        <w:rPr>
          <w:rFonts w:ascii="Times New Roman" w:eastAsia="Times New Roman" w:hAnsi="Times New Roman" w:cs="Times New Roman"/>
        </w:rPr>
        <w:t>769</w:t>
      </w:r>
      <w:r>
        <w:rPr>
          <w:rFonts w:ascii="SimSun" w:eastAsia="SimSun" w:hAnsi="SimSun" w:cs="SimSun"/>
        </w:rPr>
        <w:t>号）。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学校性质：公办全日制普通本科高校。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学校创办于</w:t>
      </w:r>
      <w:r>
        <w:rPr>
          <w:rFonts w:ascii="Times New Roman" w:eastAsia="Times New Roman" w:hAnsi="Times New Roman" w:cs="Times New Roman"/>
        </w:rPr>
        <w:t>1983</w:t>
      </w:r>
      <w:r>
        <w:rPr>
          <w:rFonts w:ascii="SimSun" w:eastAsia="SimSun" w:hAnsi="SimSun" w:cs="SimSun"/>
        </w:rPr>
        <w:t>年，是原联邦德国援建我国的四所应用型高校之一，</w:t>
      </w:r>
      <w:r>
        <w:rPr>
          <w:rFonts w:ascii="Times New Roman" w:eastAsia="Times New Roman" w:hAnsi="Times New Roman" w:cs="Times New Roman"/>
        </w:rPr>
        <w:t>2010</w:t>
      </w:r>
      <w:r>
        <w:rPr>
          <w:rFonts w:ascii="SimSun" w:eastAsia="SimSun" w:hAnsi="SimSun" w:cs="SimSun"/>
        </w:rPr>
        <w:t>年入选教育部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卓越工程师教育培养计划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首批实施院校，</w:t>
      </w:r>
      <w:r>
        <w:rPr>
          <w:rFonts w:ascii="Times New Roman" w:eastAsia="Times New Roman" w:hAnsi="Times New Roman" w:cs="Times New Roman"/>
        </w:rPr>
        <w:t>2015</w:t>
      </w:r>
      <w:r>
        <w:rPr>
          <w:rFonts w:ascii="SimSun" w:eastAsia="SimSun" w:hAnsi="SimSun" w:cs="SimSun"/>
        </w:rPr>
        <w:t>年成为浙江省首批应用型建设试点示范本科学校，</w:t>
      </w:r>
      <w:r>
        <w:rPr>
          <w:rFonts w:ascii="Times New Roman" w:eastAsia="Times New Roman" w:hAnsi="Times New Roman" w:cs="Times New Roman"/>
        </w:rPr>
        <w:t>2016</w:t>
      </w:r>
      <w:r>
        <w:rPr>
          <w:rFonts w:ascii="SimSun" w:eastAsia="SimSun" w:hAnsi="SimSun" w:cs="SimSun"/>
        </w:rPr>
        <w:t>年入选国家产教融合发展工程应用型本科试点建设高校，当选为浙江省应用型本科高校联盟首届理事长单位</w:t>
      </w:r>
      <w:r>
        <w:rPr>
          <w:rFonts w:ascii="Times New Roman" w:eastAsia="Times New Roman" w:hAnsi="Times New Roman" w:cs="Times New Roman"/>
        </w:rPr>
        <w:t>,2018</w:t>
      </w:r>
      <w:r>
        <w:rPr>
          <w:rFonts w:ascii="SimSun" w:eastAsia="SimSun" w:hAnsi="SimSun" w:cs="SimSun"/>
        </w:rPr>
        <w:t>年承担国家首批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新工科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研究与实践项目。学校以全面服务区域发展为宗旨，紧贴地方经济社会发展设置专业，具有特色鲜明的专业优势，着力培养应用开发型高级工程技术与管理人才。学校现有国家级工程实践教育中心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个，国家级特色专业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个，省级品牌、优势特色专业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个，有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个专业通过国际专业认证。学校拥有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个省一流学科，曾获多项国家科技进步奖、国家技术发明奖等重大奖项。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招生批次：浙江省不分批次，按照考生高考总分，分段填报志愿、分段录取，其他省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自治区、直辖市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第二批次普通本科。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本着公平、公正、公开的原则，综合衡量德智体美，择优录取。在录取过程中，实行学校负责、省教育考试院监督的体制。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、学校实行网络远程录取。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、学校志愿投档执行各省（自治区、直辖市）的招生录取政策，根据生源情况，确定提档比例。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、报考我校的浙江省普通类考生，以考生符合所填报志愿的选考科目范围为前提，根据考生高考总分，实行专业平行志愿投档，直接投到考生所填报的具体专业（类）。投档比例为</w:t>
      </w:r>
      <w:r>
        <w:rPr>
          <w:rFonts w:ascii="Times New Roman" w:eastAsia="Times New Roman" w:hAnsi="Times New Roman" w:cs="Times New Roman"/>
        </w:rPr>
        <w:t>1:1</w:t>
      </w:r>
      <w:r>
        <w:rPr>
          <w:rFonts w:ascii="SimSun" w:eastAsia="SimSun" w:hAnsi="SimSun" w:cs="SimSun"/>
        </w:rPr>
        <w:t>，高考总分相同的考生，依据位次、志愿顺序投档。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、其他各省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自治区、直辖市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根据我校在该省的分专业招生计划数，进档考生按照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专业志愿优先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的原则，按投档成绩择优录取。考生考试成绩按各省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自治区、直辖市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考试院（招生办）规定的考试科目投档成绩计算。最低录取分数线以上，第一专业志愿不能满足的考生，按其第二专业志愿投档；仍不能满足的按第三专业志愿投档，依次类推。当所有专业志愿均不能满足时，将从服从专业调剂的考生中随机调录到录取计划未满的专业；不服从专业调剂的考生，将予以退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报考我校江苏省普通类考生的选测科目要求为</w:t>
      </w:r>
      <w:r>
        <w:rPr>
          <w:rFonts w:ascii="Times New Roman" w:eastAsia="Times New Roman" w:hAnsi="Times New Roman" w:cs="Times New Roman"/>
        </w:rPr>
        <w:t>2B</w:t>
      </w:r>
      <w:r>
        <w:rPr>
          <w:rFonts w:ascii="SimSun" w:eastAsia="SimSun" w:hAnsi="SimSun" w:cs="SimSun"/>
        </w:rPr>
        <w:t>及以上，必测科目的要求为</w:t>
      </w:r>
      <w:r>
        <w:rPr>
          <w:rFonts w:ascii="Times New Roman" w:eastAsia="Times New Roman" w:hAnsi="Times New Roman" w:cs="Times New Roman"/>
        </w:rPr>
        <w:t>4C</w:t>
      </w:r>
      <w:r>
        <w:rPr>
          <w:rFonts w:ascii="SimSun" w:eastAsia="SimSun" w:hAnsi="SimSun" w:cs="SimSun"/>
        </w:rPr>
        <w:t>及以上。进档考生按照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专业志愿优先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先分数后等级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的方式确定录取专业。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对享受政策性加分的考生，可按所在省（自治区、直辖市）考试院（招生办）的规定加分提档，但确定录取专业时以考试成绩为准。在考试成绩相等的情况下，优先录取有政策性加分的考生。如若考试成绩和政策性加分都相等，则优先录取与报考专业相关科目分数高的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、往届生的录取按照各省（自治区、直辖市）考试院（招生办）的有关规定办理，与应届生一视同仁。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、录取时，无男女比例限制、无专业加试要求。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、建筑学专业和工业设计专业考生须有一定的绘画基础。对于建筑学专业和工业设计专业录取的考生，入学后加试美术，不合格者在校内进行专业调整。若生源所在省（自治区、直辖市）要求加试徒手画，则考生必须参加加试，加试成绩作为录取的参考依据，但不计入考生考试成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、中外合作办学专业要求英语单科考试成绩不低于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SimSun" w:eastAsia="SimSun" w:hAnsi="SimSun" w:cs="SimSun"/>
        </w:rPr>
        <w:t>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、新生入学后进行复查，经复查发现不符合招生条件和违规的学生将取消其入学资格。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收费标准：执行浙江省、宁波市教育和物价部门制定的收费标准，实行学分制收费办法，新生入学时按学年制学费标准预缴学费。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身体条件：要求身体健康，体检合格。执行教育部、卫生部、中国残疾人联合会印发的《普通高等学校招生体检工作指导意见》中的有关规定，外语类专业要求考生口齿清楚、听辨灵敏，化工、材料类专业不录取色盲、色弱考生。新生入学后进行体检复查，对不符合体检要求者，按国家有关规定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英语类专业只招以英语作为外语考试科目的考生，学校所有专业只以英语作为外语教学语种。学校公共外语为英语，非学习英语考生慎重填报。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化学工程与工艺（绿色化工生产运行控制技术）为浙江省四年制高职试点专业，学生在宁波职业技术学院就读，具体按照浙江省教育厅、省考试院招生工作规定执行。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阳光招生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，招生工作受各级纪检监察部门的监督和指导。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毕业文凭：宁波工程学院毕业文凭。国家承认其相应的普通本科学历，并实行教育部高校学历文凭电子注册。本科毕业生符合条件的授予相应的学士学位。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组织机构及职责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、宁波工程学院招生工作领导小组：学校主管领导和有关部门负责人组成，负责研究、决定招生有关问题。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、宁波工程学院招生与就业指导办公室：负责组织招生工作的常设机构。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、宁波工程学院招生监察工作组：学校纪检监察部门有关人员组成，负责监督招生录取的全过程。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招生咨询网址：</w:t>
      </w:r>
      <w:r>
        <w:rPr>
          <w:rFonts w:ascii="Times New Roman" w:eastAsia="Times New Roman" w:hAnsi="Times New Roman" w:cs="Times New Roman"/>
        </w:rPr>
        <w:t xml:space="preserve">http://zs.nbut.edu.cn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电子信箱：</w:t>
      </w:r>
      <w:r>
        <w:rPr>
          <w:rFonts w:ascii="Times New Roman" w:eastAsia="Times New Roman" w:hAnsi="Times New Roman" w:cs="Times New Roman"/>
        </w:rPr>
        <w:t xml:space="preserve">zsjy@nbut.edu.cn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咨询电话：</w:t>
      </w:r>
      <w:r>
        <w:rPr>
          <w:rFonts w:ascii="Times New Roman" w:eastAsia="Times New Roman" w:hAnsi="Times New Roman" w:cs="Times New Roman"/>
        </w:rPr>
        <w:t>0574-87616666</w:t>
      </w:r>
      <w:r>
        <w:rPr>
          <w:rFonts w:ascii="SimSun" w:eastAsia="SimSun" w:hAnsi="SimSun" w:cs="SimSun"/>
        </w:rPr>
        <w:t>，</w:t>
      </w:r>
      <w:r>
        <w:rPr>
          <w:rFonts w:ascii="Times New Roman" w:eastAsia="Times New Roman" w:hAnsi="Times New Roman" w:cs="Times New Roman"/>
        </w:rPr>
        <w:t xml:space="preserve">87616616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通讯地址：宁波市江北区风华路</w:t>
      </w:r>
      <w:r>
        <w:rPr>
          <w:rFonts w:ascii="Times New Roman" w:eastAsia="Times New Roman" w:hAnsi="Times New Roman" w:cs="Times New Roman"/>
        </w:rPr>
        <w:t>201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315211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本章程由宁波工程学院招生与就业指导办公室负责解释。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年浙江万里学院招生章程（全日制本科）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浙江财经大学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浙江理工大学纺织科学与工程学院（国际丝绸学院）持续推进科研创新实践训练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浙江外国语学院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同济大学浙江学院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浙江汽车职业技术学院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台州科技职业学院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浙江邮电职业技术学院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年招生章程（浙江省）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浙江财经大学东方学院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嘉兴学院南湖学院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温州大学瓯江学院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湖州师范学院求真学院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杭州电子科技大学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zhejiang/2019/0630/10425.html" TargetMode="External" /><Relationship Id="rId11" Type="http://schemas.openxmlformats.org/officeDocument/2006/relationships/hyperlink" Target="http://www.gk114.com/a/gxzs/zszc/zhejiang/2019/0630/10423.html" TargetMode="External" /><Relationship Id="rId12" Type="http://schemas.openxmlformats.org/officeDocument/2006/relationships/hyperlink" Target="http://www.gk114.com/a/gxzs/zszc/zhejiang/2019/0630/10422.html" TargetMode="External" /><Relationship Id="rId13" Type="http://schemas.openxmlformats.org/officeDocument/2006/relationships/hyperlink" Target="http://www.gk114.com/a/gxzs/zszc/zhejiang/2019/0630/10421.html" TargetMode="External" /><Relationship Id="rId14" Type="http://schemas.openxmlformats.org/officeDocument/2006/relationships/hyperlink" Target="http://www.gk114.com/a/gxzs/zszc/zhejiang/2019/0630/10420.html" TargetMode="External" /><Relationship Id="rId15" Type="http://schemas.openxmlformats.org/officeDocument/2006/relationships/hyperlink" Target="http://www.gk114.com/a/gxzs/zszc/zhejiang/2019/0630/10419.html" TargetMode="External" /><Relationship Id="rId16" Type="http://schemas.openxmlformats.org/officeDocument/2006/relationships/hyperlink" Target="http://www.gk114.com/a/gxzs/zszc/zhejiang/2019/0630/10418.html" TargetMode="External" /><Relationship Id="rId17" Type="http://schemas.openxmlformats.org/officeDocument/2006/relationships/hyperlink" Target="http://www.gk114.com/a/gxzs/zszc/zhejiang/2021/0610/19817.html" TargetMode="External" /><Relationship Id="rId18" Type="http://schemas.openxmlformats.org/officeDocument/2006/relationships/hyperlink" Target="http://www.gk114.com/a/gxzs/zszc/zhejiang/2021/0602/19682.html" TargetMode="External" /><Relationship Id="rId19" Type="http://schemas.openxmlformats.org/officeDocument/2006/relationships/hyperlink" Target="http://www.gk114.com/a/gxzs/zszc/zhejiang/2021/0610/19816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zhejiang/2019/0222/6604.html" TargetMode="External" /><Relationship Id="rId21" Type="http://schemas.openxmlformats.org/officeDocument/2006/relationships/hyperlink" Target="http://www.gk114.com/a/gxzs/zszc/zhejiang/2019/0222/6618.html" TargetMode="Externa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zhejiang/2019/0630/10390.html" TargetMode="External" /><Relationship Id="rId5" Type="http://schemas.openxmlformats.org/officeDocument/2006/relationships/hyperlink" Target="http://www.gk114.com/a/gxzs/zszc/zhejiang/2019/0630/10392.html" TargetMode="External" /><Relationship Id="rId6" Type="http://schemas.openxmlformats.org/officeDocument/2006/relationships/hyperlink" Target="http://www.gk114.com/a/gxzs/zszc/zhejiang/" TargetMode="External" /><Relationship Id="rId7" Type="http://schemas.openxmlformats.org/officeDocument/2006/relationships/hyperlink" Target="http://www.gk114.com/a/gxzs/zszc/zhejiang/2021/0308/18834.html" TargetMode="External" /><Relationship Id="rId8" Type="http://schemas.openxmlformats.org/officeDocument/2006/relationships/hyperlink" Target="http://www.gk114.com/a/gxzs/zszc/zhejiang/2019/0630/10427.html" TargetMode="External" /><Relationship Id="rId9" Type="http://schemas.openxmlformats.org/officeDocument/2006/relationships/hyperlink" Target="http://www.gk114.com/a/gxzs/zszc/zhejiang/2019/0630/1042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