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安徽大学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安徽大学本专科招生工作的顺利进行，维护考生合法权益，根据《中华人民共和国教育法》、《中华人民共和国高等教育法》等相关法律和教育部有关规定，结合安徽大学本专科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安徽大学招生工作遵循</w:t>
      </w:r>
      <w:r>
        <w:rPr>
          <w:rFonts w:ascii="Times New Roman" w:eastAsia="Times New Roman" w:hAnsi="Times New Roman" w:cs="Times New Roman"/>
        </w:rPr>
        <w:t>“</w:t>
      </w:r>
      <w:r>
        <w:rPr>
          <w:rFonts w:ascii="SimSun" w:eastAsia="SimSun" w:hAnsi="SimSun" w:cs="SimSun"/>
        </w:rPr>
        <w:t>公平竞争、公正选拔、综合评价、择优录取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安徽大学招生工作接受纪检监察部门、考生、家长、媒体以及社会各界的监督。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学校全称：安徽大学（国标代码：</w:t>
      </w:r>
      <w:r>
        <w:rPr>
          <w:rFonts w:ascii="Times New Roman" w:eastAsia="Times New Roman" w:hAnsi="Times New Roman" w:cs="Times New Roman"/>
        </w:rPr>
        <w:t>10357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办学类型：公办普通本科高等学校，国家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重点建设高校，安徽省人民政府与教育部共建高校，安徽省属重点综合性大学。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学历证书的学校名称：安徽大学；学历证书种类：普通高等学校学历证书。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办学地址：合肥市经济技术开发区九龙路</w:t>
      </w:r>
      <w:r>
        <w:rPr>
          <w:rFonts w:ascii="Times New Roman" w:eastAsia="Times New Roman" w:hAnsi="Times New Roman" w:cs="Times New Roman"/>
        </w:rPr>
        <w:t>111</w:t>
      </w:r>
      <w:r>
        <w:rPr>
          <w:rFonts w:ascii="SimSun" w:eastAsia="SimSun" w:hAnsi="SimSun" w:cs="SimSun"/>
        </w:rPr>
        <w:t>号、合肥市蜀山区肥西路</w:t>
      </w:r>
      <w:r>
        <w:rPr>
          <w:rFonts w:ascii="Times New Roman" w:eastAsia="Times New Roman" w:hAnsi="Times New Roman" w:cs="Times New Roman"/>
        </w:rPr>
        <w:t>3</w:t>
      </w:r>
      <w:r>
        <w:rPr>
          <w:rFonts w:ascii="SimSun" w:eastAsia="SimSun" w:hAnsi="SimSun" w:cs="SimSun"/>
        </w:rPr>
        <w:t>号、合肥市新站区前岭路与淮海大道交口东北（安徽大学艺术与传媒学院校区）。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安徽大学设立招生委员会，负责贯彻落实教育部及各省（市、自治区）有关招生工作政策，制定本专科招生章程、招生计划，讨论决定本专科招生重大事宜。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安徽大学招生办公室是学校组织和实施本专科招生工作的常设机构，负责学校本专科招生的日常工作。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安徽大学在国家和省教育厅核定的普通高等教育年度招生规模内，根据本校人才培养目标、办学条件等实际情况，统筹考虑各省（区、市）考生人数、生源质量、区域协调发展及重点支持政策、毕业生就业、历年计划安排等因素，确定分省分专业或大类招生计划。报教育部审批后由各省级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预留计划数及使用原则：根据教育部有关文件精神，编制预留计划</w:t>
      </w:r>
      <w:r>
        <w:rPr>
          <w:rFonts w:ascii="Times New Roman" w:eastAsia="Times New Roman" w:hAnsi="Times New Roman" w:cs="Times New Roman"/>
        </w:rPr>
        <w:t>15</w:t>
      </w:r>
      <w:r>
        <w:rPr>
          <w:rFonts w:ascii="SimSun" w:eastAsia="SimSun" w:hAnsi="SimSun" w:cs="SimSun"/>
        </w:rPr>
        <w:t>人，用于调节各地统考上线生源的不平衡，以及解决由于平行志愿产生的生源地上线同分段考生录取问题。在使用预留计划时坚持集体议事、集体决策、公开透明的原则。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按照平行志愿投档的批次，调档比例原则上控制在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安徽大学招生录取工作执行教育部规定的</w:t>
      </w:r>
      <w:r>
        <w:rPr>
          <w:rFonts w:ascii="Times New Roman" w:eastAsia="Times New Roman" w:hAnsi="Times New Roman" w:cs="Times New Roman"/>
        </w:rPr>
        <w:t>“</w:t>
      </w:r>
      <w:r>
        <w:rPr>
          <w:rFonts w:ascii="SimSun" w:eastAsia="SimSun" w:hAnsi="SimSun" w:cs="SimSun"/>
        </w:rPr>
        <w:t>学校负责，省级招办监督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本专科招生体检标准按照教育部、卫生部、中国残疾人联合会印发的《普通高等学校招生体检工作指导意见》及人力资源和社会保障部教育部</w:t>
      </w:r>
      <w:r>
        <w:rPr>
          <w:rFonts w:ascii="Times New Roman" w:eastAsia="Times New Roman" w:hAnsi="Times New Roman" w:cs="Times New Roman"/>
        </w:rPr>
        <w:t xml:space="preserve"> </w:t>
      </w:r>
      <w:r>
        <w:rPr>
          <w:rFonts w:ascii="SimSun" w:eastAsia="SimSun" w:hAnsi="SimSun" w:cs="SimSun"/>
        </w:rPr>
        <w:t>卫生部《关于进一步规范入学和就业体检项目维护乙肝表面抗原携带者入学和就业权利的通知》等有关要求。</w:t>
      </w: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结合人才培养要求，有关专业限定录取条件如下：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本科：英语专业高考外语语种须为</w:t>
      </w:r>
      <w:r>
        <w:rPr>
          <w:rFonts w:ascii="Times New Roman" w:eastAsia="Times New Roman" w:hAnsi="Times New Roman" w:cs="Times New Roman"/>
        </w:rPr>
        <w:t>“</w:t>
      </w:r>
      <w:r>
        <w:rPr>
          <w:rFonts w:ascii="SimSun" w:eastAsia="SimSun" w:hAnsi="SimSun" w:cs="SimSun"/>
        </w:rPr>
        <w:t>英语</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专科：高考外语语种须为</w:t>
      </w:r>
      <w:r>
        <w:rPr>
          <w:rFonts w:ascii="Times New Roman" w:eastAsia="Times New Roman" w:hAnsi="Times New Roman" w:cs="Times New Roman"/>
        </w:rPr>
        <w:t>“</w:t>
      </w:r>
      <w:r>
        <w:rPr>
          <w:rFonts w:ascii="SimSun" w:eastAsia="SimSun" w:hAnsi="SimSun" w:cs="SimSun"/>
        </w:rPr>
        <w:t>英语</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非艺术类专业或大类录取原则：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进档考生按</w:t>
      </w:r>
      <w:r>
        <w:rPr>
          <w:rFonts w:ascii="Times New Roman" w:eastAsia="Times New Roman" w:hAnsi="Times New Roman" w:cs="Times New Roman"/>
        </w:rPr>
        <w:t>“</w:t>
      </w:r>
      <w:r>
        <w:rPr>
          <w:rFonts w:ascii="SimSun" w:eastAsia="SimSun" w:hAnsi="SimSun" w:cs="SimSun"/>
        </w:rPr>
        <w:t>分数优先（含政策加分），遵循志愿</w:t>
      </w:r>
      <w:r>
        <w:rPr>
          <w:rFonts w:ascii="Times New Roman" w:eastAsia="Times New Roman" w:hAnsi="Times New Roman" w:cs="Times New Roman"/>
        </w:rPr>
        <w:t>”</w:t>
      </w:r>
      <w:r>
        <w:rPr>
          <w:rFonts w:ascii="SimSun" w:eastAsia="SimSun" w:hAnsi="SimSun" w:cs="SimSun"/>
        </w:rPr>
        <w:t>（所有专业或大类调剂考生的优先级均低于其他考生）的方式进行专业或大类志愿录取。专业或大类录取时采用各省高考排序成绩，未实行排序成绩的省份，按照投档成绩进行专业或大类录取，如果投档成绩相同，文科依次按高考实考总分、语文、数学、外语科目比较排序，理科按高考实考总分、数学、语文、外语科目比较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内蒙古自治区进档考生分专业或大类规则为</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范围内按专业或大类志愿排队录取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江苏省进档考生录取按</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、实行</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的方式进行。等级折算分按照</w:t>
      </w:r>
      <w:r>
        <w:rPr>
          <w:rFonts w:ascii="Times New Roman" w:eastAsia="Times New Roman" w:hAnsi="Times New Roman" w:cs="Times New Roman"/>
        </w:rPr>
        <w:t>A+</w:t>
      </w:r>
      <w:r>
        <w:rPr>
          <w:rFonts w:ascii="SimSun" w:eastAsia="SimSun" w:hAnsi="SimSun" w:cs="SimSun"/>
        </w:rPr>
        <w:t>为</w:t>
      </w:r>
      <w:r>
        <w:rPr>
          <w:rFonts w:ascii="Times New Roman" w:eastAsia="Times New Roman" w:hAnsi="Times New Roman" w:cs="Times New Roman"/>
        </w:rPr>
        <w:t>9</w:t>
      </w:r>
      <w:r>
        <w:rPr>
          <w:rFonts w:ascii="SimSun" w:eastAsia="SimSun" w:hAnsi="SimSun" w:cs="SimSun"/>
        </w:rPr>
        <w:t>分、</w:t>
      </w:r>
      <w:r>
        <w:rPr>
          <w:rFonts w:ascii="Times New Roman" w:eastAsia="Times New Roman" w:hAnsi="Times New Roman" w:cs="Times New Roman"/>
        </w:rPr>
        <w:t>A</w:t>
      </w:r>
      <w:r>
        <w:rPr>
          <w:rFonts w:ascii="SimSun" w:eastAsia="SimSun" w:hAnsi="SimSun" w:cs="SimSun"/>
        </w:rPr>
        <w:t>为</w:t>
      </w:r>
      <w:r>
        <w:rPr>
          <w:rFonts w:ascii="Times New Roman" w:eastAsia="Times New Roman" w:hAnsi="Times New Roman" w:cs="Times New Roman"/>
        </w:rPr>
        <w:t>8</w:t>
      </w:r>
      <w:r>
        <w:rPr>
          <w:rFonts w:ascii="SimSun" w:eastAsia="SimSun" w:hAnsi="SimSun" w:cs="SimSun"/>
        </w:rPr>
        <w:t>分、</w:t>
      </w:r>
      <w:r>
        <w:rPr>
          <w:rFonts w:ascii="Times New Roman" w:eastAsia="Times New Roman" w:hAnsi="Times New Roman" w:cs="Times New Roman"/>
        </w:rPr>
        <w:t>A-</w:t>
      </w:r>
      <w:r>
        <w:rPr>
          <w:rFonts w:ascii="SimSun" w:eastAsia="SimSun" w:hAnsi="SimSun" w:cs="SimSun"/>
        </w:rPr>
        <w:t>为</w:t>
      </w:r>
      <w:r>
        <w:rPr>
          <w:rFonts w:ascii="Times New Roman" w:eastAsia="Times New Roman" w:hAnsi="Times New Roman" w:cs="Times New Roman"/>
        </w:rPr>
        <w:t>7</w:t>
      </w:r>
      <w:r>
        <w:rPr>
          <w:rFonts w:ascii="SimSun" w:eastAsia="SimSun" w:hAnsi="SimSun" w:cs="SimSun"/>
        </w:rPr>
        <w:t>分，</w:t>
      </w:r>
      <w:r>
        <w:rPr>
          <w:rFonts w:ascii="Times New Roman" w:eastAsia="Times New Roman" w:hAnsi="Times New Roman" w:cs="Times New Roman"/>
        </w:rPr>
        <w:t>B+</w:t>
      </w:r>
      <w:r>
        <w:rPr>
          <w:rFonts w:ascii="SimSun" w:eastAsia="SimSun" w:hAnsi="SimSun" w:cs="SimSun"/>
        </w:rPr>
        <w:t>为</w:t>
      </w:r>
      <w:r>
        <w:rPr>
          <w:rFonts w:ascii="Times New Roman" w:eastAsia="Times New Roman" w:hAnsi="Times New Roman" w:cs="Times New Roman"/>
        </w:rPr>
        <w:t>6</w:t>
      </w:r>
      <w:r>
        <w:rPr>
          <w:rFonts w:ascii="SimSun" w:eastAsia="SimSun" w:hAnsi="SimSun" w:cs="SimSun"/>
        </w:rPr>
        <w:t>分、</w:t>
      </w:r>
      <w:r>
        <w:rPr>
          <w:rFonts w:ascii="Times New Roman" w:eastAsia="Times New Roman" w:hAnsi="Times New Roman" w:cs="Times New Roman"/>
        </w:rPr>
        <w:t>B</w:t>
      </w:r>
      <w:r>
        <w:rPr>
          <w:rFonts w:ascii="SimSun" w:eastAsia="SimSun" w:hAnsi="SimSun" w:cs="SimSun"/>
        </w:rPr>
        <w:t>为</w:t>
      </w:r>
      <w:r>
        <w:rPr>
          <w:rFonts w:ascii="Times New Roman" w:eastAsia="Times New Roman" w:hAnsi="Times New Roman" w:cs="Times New Roman"/>
        </w:rPr>
        <w:t>5</w:t>
      </w:r>
      <w:r>
        <w:rPr>
          <w:rFonts w:ascii="SimSun" w:eastAsia="SimSun" w:hAnsi="SimSun" w:cs="SimSun"/>
        </w:rPr>
        <w:t>分、</w:t>
      </w:r>
      <w:r>
        <w:rPr>
          <w:rFonts w:ascii="Times New Roman" w:eastAsia="Times New Roman" w:hAnsi="Times New Roman" w:cs="Times New Roman"/>
        </w:rPr>
        <w:t>B-</w:t>
      </w:r>
      <w:r>
        <w:rPr>
          <w:rFonts w:ascii="SimSun" w:eastAsia="SimSun" w:hAnsi="SimSun" w:cs="SimSun"/>
        </w:rPr>
        <w:t>为</w:t>
      </w:r>
      <w:r>
        <w:rPr>
          <w:rFonts w:ascii="Times New Roman" w:eastAsia="Times New Roman" w:hAnsi="Times New Roman" w:cs="Times New Roman"/>
        </w:rPr>
        <w:t>4</w:t>
      </w:r>
      <w:r>
        <w:rPr>
          <w:rFonts w:ascii="SimSun" w:eastAsia="SimSun" w:hAnsi="SimSun" w:cs="SimSun"/>
        </w:rPr>
        <w:t>分，</w:t>
      </w:r>
      <w:r>
        <w:rPr>
          <w:rFonts w:ascii="Times New Roman" w:eastAsia="Times New Roman" w:hAnsi="Times New Roman" w:cs="Times New Roman"/>
        </w:rPr>
        <w:t>C+</w:t>
      </w:r>
      <w:r>
        <w:rPr>
          <w:rFonts w:ascii="SimSun" w:eastAsia="SimSun" w:hAnsi="SimSun" w:cs="SimSun"/>
        </w:rPr>
        <w:t>为</w:t>
      </w:r>
      <w:r>
        <w:rPr>
          <w:rFonts w:ascii="Times New Roman" w:eastAsia="Times New Roman" w:hAnsi="Times New Roman" w:cs="Times New Roman"/>
        </w:rPr>
        <w:t>3</w:t>
      </w:r>
      <w:r>
        <w:rPr>
          <w:rFonts w:ascii="SimSun" w:eastAsia="SimSun" w:hAnsi="SimSun" w:cs="SimSun"/>
        </w:rPr>
        <w:t>分、</w:t>
      </w:r>
      <w:r>
        <w:rPr>
          <w:rFonts w:ascii="Times New Roman" w:eastAsia="Times New Roman" w:hAnsi="Times New Roman" w:cs="Times New Roman"/>
        </w:rPr>
        <w:t>C</w:t>
      </w:r>
      <w:r>
        <w:rPr>
          <w:rFonts w:ascii="SimSun" w:eastAsia="SimSun" w:hAnsi="SimSun" w:cs="SimSun"/>
        </w:rPr>
        <w:t>为</w:t>
      </w:r>
      <w:r>
        <w:rPr>
          <w:rFonts w:ascii="Times New Roman" w:eastAsia="Times New Roman" w:hAnsi="Times New Roman" w:cs="Times New Roman"/>
        </w:rPr>
        <w:t>2</w:t>
      </w:r>
      <w:r>
        <w:rPr>
          <w:rFonts w:ascii="SimSun" w:eastAsia="SimSun" w:hAnsi="SimSun" w:cs="SimSun"/>
        </w:rPr>
        <w:t>分、</w:t>
      </w:r>
      <w:r>
        <w:rPr>
          <w:rFonts w:ascii="Times New Roman" w:eastAsia="Times New Roman" w:hAnsi="Times New Roman" w:cs="Times New Roman"/>
        </w:rPr>
        <w:t>C-</w:t>
      </w:r>
      <w:r>
        <w:rPr>
          <w:rFonts w:ascii="SimSun" w:eastAsia="SimSun" w:hAnsi="SimSun" w:cs="SimSun"/>
        </w:rPr>
        <w:t>为</w:t>
      </w:r>
      <w:r>
        <w:rPr>
          <w:rFonts w:ascii="Times New Roman" w:eastAsia="Times New Roman" w:hAnsi="Times New Roman" w:cs="Times New Roman"/>
        </w:rPr>
        <w:t>1</w:t>
      </w:r>
      <w:r>
        <w:rPr>
          <w:rFonts w:ascii="SimSun" w:eastAsia="SimSun" w:hAnsi="SimSun" w:cs="SimSun"/>
        </w:rPr>
        <w:t>分。分数和等级折算分均相同时，文科依次按语文、数学、外语科目比较排序进行录取，理科按数学、语文、外语科目比较排序进行录取。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浙江省考生录取原则按照《浙江省</w:t>
      </w:r>
      <w:r>
        <w:rPr>
          <w:rFonts w:ascii="Times New Roman" w:eastAsia="Times New Roman" w:hAnsi="Times New Roman" w:cs="Times New Roman"/>
        </w:rPr>
        <w:t>2018</w:t>
      </w:r>
      <w:r>
        <w:rPr>
          <w:rFonts w:ascii="SimSun" w:eastAsia="SimSun" w:hAnsi="SimSun" w:cs="SimSun"/>
        </w:rPr>
        <w:t>年普通高校招生录取工作方案》执行。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上海市进档考生按</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（所有专业或大类调剂考生的优先级均低于其他考生）的方式进行专业或大类志愿录取，服从考生在专业组内进行调剂</w:t>
      </w:r>
      <w:r>
        <w:rPr>
          <w:rFonts w:ascii="Times New Roman" w:eastAsia="Times New Roman" w:hAnsi="Times New Roman" w:cs="Times New Roman"/>
        </w:rPr>
        <w:t>,</w:t>
      </w:r>
      <w:r>
        <w:rPr>
          <w:rFonts w:ascii="SimSun" w:eastAsia="SimSun" w:hAnsi="SimSun" w:cs="SimSun"/>
        </w:rPr>
        <w:t>考生的综合素质评价信息将作为专业或大类调剂录取的重要参考依据。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艺术类专业录取原则：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安徽省考生专业录取原则：绘画、环境设计、视觉传达设计、表演专业按照投档时的综合成绩从高分到低分录取，综合成绩相同时，专业课成绩高的优先录取。音乐表演专业按专业主项成绩从高分到低分录取；专业主项成绩相同时，高考文化课成绩高的优先录取（含政策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省外考生专业录取原则：高考文化课成绩和专业课省统考成绩均达到考生所在省份划定的相应批次录取控制分数线，按各省文件规定的投档原则和投档比例予以投档，进档考生按照各省专业课统考成绩从高分到低分依次录取；专业课统考成绩相同时，文化课成绩高的优先录取（含政策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高水平运动队的录取原则：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报考</w:t>
      </w:r>
      <w:r>
        <w:rPr>
          <w:rFonts w:ascii="Times New Roman" w:eastAsia="Times New Roman" w:hAnsi="Times New Roman" w:cs="Times New Roman"/>
        </w:rPr>
        <w:t>“</w:t>
      </w:r>
      <w:r>
        <w:rPr>
          <w:rFonts w:ascii="SimSun" w:eastAsia="SimSun" w:hAnsi="SimSun" w:cs="SimSun"/>
        </w:rPr>
        <w:t>文化课单独考试</w:t>
      </w:r>
      <w:r>
        <w:rPr>
          <w:rFonts w:ascii="Times New Roman" w:eastAsia="Times New Roman" w:hAnsi="Times New Roman" w:cs="Times New Roman"/>
        </w:rPr>
        <w:t>”</w:t>
      </w:r>
      <w:r>
        <w:rPr>
          <w:rFonts w:ascii="SimSun" w:eastAsia="SimSun" w:hAnsi="SimSun" w:cs="SimSun"/>
        </w:rPr>
        <w:t>类别且专项测试成绩合格的考生，达到我校划定的文化课合格线，予以录取。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报考</w:t>
      </w:r>
      <w:r>
        <w:rPr>
          <w:rFonts w:ascii="Times New Roman" w:eastAsia="Times New Roman" w:hAnsi="Times New Roman" w:cs="Times New Roman"/>
        </w:rPr>
        <w:t>“</w:t>
      </w:r>
      <w:r>
        <w:rPr>
          <w:rFonts w:ascii="SimSun" w:eastAsia="SimSun" w:hAnsi="SimSun" w:cs="SimSun"/>
        </w:rPr>
        <w:t>文化课统一考试</w:t>
      </w:r>
      <w:r>
        <w:rPr>
          <w:rFonts w:ascii="Times New Roman" w:eastAsia="Times New Roman" w:hAnsi="Times New Roman" w:cs="Times New Roman"/>
        </w:rPr>
        <w:t xml:space="preserve">” </w:t>
      </w:r>
      <w:r>
        <w:rPr>
          <w:rFonts w:ascii="SimSun" w:eastAsia="SimSun" w:hAnsi="SimSun" w:cs="SimSun"/>
        </w:rPr>
        <w:t>类别且专项测试成绩合格的考生：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专项测试成绩特别突出且有培养前途的合格考生，文化课成绩达到考生所在生源地本科第二批次录取控制分数线的</w:t>
      </w:r>
      <w:r>
        <w:rPr>
          <w:rFonts w:ascii="Times New Roman" w:eastAsia="Times New Roman" w:hAnsi="Times New Roman" w:cs="Times New Roman"/>
        </w:rPr>
        <w:t xml:space="preserve"> 65%</w:t>
      </w:r>
      <w:r>
        <w:rPr>
          <w:rFonts w:ascii="SimSun" w:eastAsia="SimSun" w:hAnsi="SimSun" w:cs="SimSun"/>
        </w:rPr>
        <w:t>，予以录取。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专项测试成绩合格且文化课成绩达到考生所在生源地本科第二批次录取控制分数线的，根据招生计划，按照专项测试成绩从高到低择优录取。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各专业学费标准按照安徽省物价局、安徽省财政厅有关文件规定执行。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贫困资助政策及有关程序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学校建立</w:t>
      </w:r>
      <w:r>
        <w:rPr>
          <w:rFonts w:ascii="Times New Roman" w:eastAsia="Times New Roman" w:hAnsi="Times New Roman" w:cs="Times New Roman"/>
        </w:rPr>
        <w:t>“</w:t>
      </w:r>
      <w:r>
        <w:rPr>
          <w:rFonts w:ascii="SimSun" w:eastAsia="SimSun" w:hAnsi="SimSun" w:cs="SimSun"/>
        </w:rPr>
        <w:t>奖、助、贷、勤、补、免</w:t>
      </w:r>
      <w:r>
        <w:rPr>
          <w:rFonts w:ascii="Times New Roman" w:eastAsia="Times New Roman" w:hAnsi="Times New Roman" w:cs="Times New Roman"/>
        </w:rPr>
        <w:t>”</w:t>
      </w:r>
      <w:r>
        <w:rPr>
          <w:rFonts w:ascii="SimSun" w:eastAsia="SimSun" w:hAnsi="SimSun" w:cs="SimSun"/>
        </w:rPr>
        <w:t>多元一体的学生资助体系，经济困难学生可以通过提交个人申请、班级民主评议、院系、学校审批等方式申请各类资助项目。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其他说明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安徽大学</w:t>
      </w:r>
      <w:r>
        <w:rPr>
          <w:rFonts w:ascii="Times New Roman" w:eastAsia="Times New Roman" w:hAnsi="Times New Roman" w:cs="Times New Roman"/>
        </w:rPr>
        <w:t>2018</w:t>
      </w:r>
      <w:r>
        <w:rPr>
          <w:rFonts w:ascii="SimSun" w:eastAsia="SimSun" w:hAnsi="SimSun" w:cs="SimSun"/>
        </w:rPr>
        <w:t>年实行大类和专业相结合的招生模式，按大类招生的学生，一学年以后在招生录取的类别内进行专业分流，具体分流方案见《安徽大学</w:t>
      </w:r>
      <w:r>
        <w:rPr>
          <w:rFonts w:ascii="Times New Roman" w:eastAsia="Times New Roman" w:hAnsi="Times New Roman" w:cs="Times New Roman"/>
        </w:rPr>
        <w:t>2018</w:t>
      </w:r>
      <w:r>
        <w:rPr>
          <w:rFonts w:ascii="SimSun" w:eastAsia="SimSun" w:hAnsi="SimSun" w:cs="SimSun"/>
        </w:rPr>
        <w:t>年招生简章》。数学类（含数学与应用数学、信息与计算科学、统计学专业），物理学类（含应用物理学、光电信息科学与工程专业），材料类（含材料化学、高分子材料与工程、新能源材料与器件、应用化学、化学专业），计算机类（含计算机科学与技术、软件工程、信息安全专业），电子信息类（含电子科学与技术、通信工程、微电子科学与工程专业），自动化类（含电气工程及其自动化、自动化、测控技术与仪器专业），生物科学类（含生物工程、生物制药、食品科学与工程、生物科学专业），环境科学与工程类（含生态学、环境科学、测绘工程、地理信息科学、地质学专业），中国语言文学类（含汉语国际教育、汉语言文学专业），历史学类（含考古学、历史学专业），哲学类（含哲学、应用心理学专业），新闻传播学类（含编辑出版学、广播电视学、广告学、网络与新媒体、新闻学专业），经济学类（含财政学、税收学、金融学、国际经济与贸易、经济学专业），工商管理类（含电子商务、财务管理、工商管理、人力资源管理、市场营销、旅游管理、人文地理与城乡规划、物流管理专业），法学类（含法学、知识产权专业），管理科学与工程类（含行政管理、劳动与社会保障、档案学、图书馆学、管理科学、信息管理与信息系统专业），政治学类（含社会工作、社会学、国际事务与国际关系、政治学与行政学专业），</w:t>
      </w:r>
      <w:r>
        <w:rPr>
          <w:rFonts w:ascii="Times New Roman" w:eastAsia="Times New Roman" w:hAnsi="Times New Roman" w:cs="Times New Roman"/>
        </w:rPr>
        <w:t>“</w:t>
      </w:r>
      <w:r>
        <w:rPr>
          <w:rFonts w:ascii="SimSun" w:eastAsia="SimSun" w:hAnsi="SimSun" w:cs="SimSun"/>
        </w:rPr>
        <w:t>网络工程</w:t>
      </w:r>
      <w:r>
        <w:rPr>
          <w:rFonts w:ascii="Times New Roman" w:eastAsia="Times New Roman" w:hAnsi="Times New Roman" w:cs="Times New Roman"/>
        </w:rPr>
        <w:t>”</w:t>
      </w:r>
      <w:r>
        <w:rPr>
          <w:rFonts w:ascii="SimSun" w:eastAsia="SimSun" w:hAnsi="SimSun" w:cs="SimSun"/>
        </w:rPr>
        <w:t>专业代表类（含网络工程、物联网工程、通信工程、电子商务专业）。其他按照专业或专业方向招生。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专科招生专业均实行中外合作办学，学生在我校修读三年专科课程且学业合格，授予安徽大学专科文凭；符合英国格林威治大学本科就读条件的学生第四年可赴英国格林威治大学就读，成绩合格者由英国格林威治大学颁发本科学士学位证书。格林威治大学本科学费按英国当年的国际学生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安徽大学艺术与传媒学院是安徽省人民政府</w:t>
      </w:r>
      <w:r>
        <w:rPr>
          <w:rFonts w:ascii="Times New Roman" w:eastAsia="Times New Roman" w:hAnsi="Times New Roman" w:cs="Times New Roman"/>
        </w:rPr>
        <w:t>2013</w:t>
      </w:r>
      <w:r>
        <w:rPr>
          <w:rFonts w:ascii="SimSun" w:eastAsia="SimSun" w:hAnsi="SimSun" w:cs="SimSun"/>
        </w:rPr>
        <w:t>年</w:t>
      </w:r>
      <w:r>
        <w:rPr>
          <w:rFonts w:ascii="Times New Roman" w:eastAsia="Times New Roman" w:hAnsi="Times New Roman" w:cs="Times New Roman"/>
        </w:rPr>
        <w:t>12</w:t>
      </w:r>
      <w:r>
        <w:rPr>
          <w:rFonts w:ascii="SimSun" w:eastAsia="SimSun" w:hAnsi="SimSun" w:cs="SimSun"/>
        </w:rPr>
        <w:t>月批准成立的独立设置、独立管理的安徽大学二级学院，是独立法人单位和全额拨款事业单位，由省教育厅主管，纳入省属普通本科院校序列管理，办学地址在合肥市新站区前岭路与淮海大道交口东北。安徽大学艺术与传媒学院专业录取规则按照《安徽大学艺术与传媒学院</w:t>
      </w:r>
      <w:r>
        <w:rPr>
          <w:rFonts w:ascii="Times New Roman" w:eastAsia="Times New Roman" w:hAnsi="Times New Roman" w:cs="Times New Roman"/>
        </w:rPr>
        <w:t>2018</w:t>
      </w:r>
      <w:r>
        <w:rPr>
          <w:rFonts w:ascii="SimSun" w:eastAsia="SimSun" w:hAnsi="SimSun" w:cs="SimSun"/>
        </w:rPr>
        <w:t>年招生简章》执行。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安徽大学不委托任何中介机构或个人进行招生录取工作，不收取国家规定外的任何费用。任何以</w:t>
      </w:r>
      <w:r>
        <w:rPr>
          <w:rFonts w:ascii="Times New Roman" w:eastAsia="Times New Roman" w:hAnsi="Times New Roman" w:cs="Times New Roman"/>
        </w:rPr>
        <w:t>“</w:t>
      </w:r>
      <w:r>
        <w:rPr>
          <w:rFonts w:ascii="SimSun" w:eastAsia="SimSun" w:hAnsi="SimSun" w:cs="SimSun"/>
        </w:rPr>
        <w:t>安徽大学</w:t>
      </w:r>
      <w:r>
        <w:rPr>
          <w:rFonts w:ascii="Times New Roman" w:eastAsia="Times New Roman" w:hAnsi="Times New Roman" w:cs="Times New Roman"/>
        </w:rPr>
        <w:t>”</w:t>
      </w:r>
      <w:r>
        <w:rPr>
          <w:rFonts w:ascii="SimSun" w:eastAsia="SimSun" w:hAnsi="SimSun" w:cs="SimSun"/>
        </w:rPr>
        <w:t>名义进行非法招生宣传等活动的中介机构或个人，学校保留依法追究其责任的权利。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本章程公布后，如有其他未尽事宜，学校将另行公告。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本章程若与国家法律、法规、规章和上级有关政策相抵触，以国家法律、法规、规章和上级有关政策为准。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本章程由安徽大学招生办公室负责解释。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0551-63861666</w:t>
      </w:r>
      <w:r>
        <w:rPr>
          <w:rFonts w:ascii="SimSun" w:eastAsia="SimSun" w:hAnsi="SimSun" w:cs="SimSun"/>
        </w:rPr>
        <w:t>，</w:t>
      </w:r>
      <w:r>
        <w:rPr>
          <w:rFonts w:ascii="Times New Roman" w:eastAsia="Times New Roman" w:hAnsi="Times New Roman" w:cs="Times New Roman"/>
        </w:rPr>
        <w:t xml:space="preserve">63861777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招生信息网址：</w:t>
      </w:r>
      <w:r>
        <w:rPr>
          <w:rFonts w:ascii="Times New Roman" w:eastAsia="Times New Roman" w:hAnsi="Times New Roman" w:cs="Times New Roman"/>
        </w:rPr>
        <w:t xml:space="preserve">http://zsb.ahu.edu.cn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招生监督电话：</w:t>
      </w:r>
      <w:r>
        <w:rPr>
          <w:rFonts w:ascii="Times New Roman" w:eastAsia="Times New Roman" w:hAnsi="Times New Roman" w:cs="Times New Roman"/>
        </w:rPr>
        <w:t>0551-63861581</w:t>
      </w:r>
      <w:r>
        <w:rPr>
          <w:rFonts w:ascii="SimSun" w:eastAsia="SimSun" w:hAnsi="SimSun" w:cs="SimSun"/>
        </w:rPr>
        <w:t>（纪检监察室）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招生监督邮箱：</w:t>
      </w:r>
      <w:r>
        <w:rPr>
          <w:rFonts w:ascii="Times New Roman" w:eastAsia="Times New Roman" w:hAnsi="Times New Roman" w:cs="Times New Roman"/>
        </w:rPr>
        <w:t>jwb@ahu.edu.cn</w:t>
      </w:r>
      <w:r>
        <w:rPr>
          <w:rFonts w:ascii="SimSun" w:eastAsia="SimSun" w:hAnsi="SimSun" w:cs="SimSun"/>
        </w:rPr>
        <w:t>（纪检监察室）</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上一篇：没有了</w:t>
      </w:r>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4" w:history="1">
        <w:r>
          <w:rPr>
            <w:rFonts w:ascii="SimSun" w:eastAsia="SimSun" w:hAnsi="SimSun" w:cs="SimSun"/>
            <w:color w:val="0000EE"/>
            <w:u w:val="single" w:color="0000EE"/>
          </w:rPr>
          <w:t>合肥工业大学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年全日制普通本科生招生章程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合肥工业大学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振兴计划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中国科学技术大学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自强计划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中国科学技术大学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合肥工业大学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年美术类专业招生简章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安徽中医药大学招生专业介绍</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安徽中医药大学各学院简介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安徽中医药大学护理学院在学校第七届大学生篮球联赛中荣获佳绩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年秋季招生各学院咨询电话</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anhui/2021/0611/19819.html" TargetMode="External" /><Relationship Id="rId11" Type="http://schemas.openxmlformats.org/officeDocument/2006/relationships/hyperlink" Target="http://www.gk114.com/a/gxzs/zszc/anhui/2021/0611/19818.html" TargetMode="External" /><Relationship Id="rId12" Type="http://schemas.openxmlformats.org/officeDocument/2006/relationships/hyperlink" Target="http://www.gk114.com/a/gxzs/zszc/anhui/2021/0605/19721.html" TargetMode="External" /><Relationship Id="rId13" Type="http://schemas.openxmlformats.org/officeDocument/2006/relationships/hyperlink" Target="http://www.gk114.com/a/gxzs/zszc/anhui/2021/0605/19720.html" TargetMode="External" /><Relationship Id="rId14" Type="http://schemas.openxmlformats.org/officeDocument/2006/relationships/hyperlink" Target="http://www.gk114.com/a/gxzs/zszc/anhui/2021/0531/19677.html" TargetMode="External" /><Relationship Id="rId15" Type="http://schemas.openxmlformats.org/officeDocument/2006/relationships/hyperlink" Target="http://www.gk114.com/a/gxzs/zszc/anhui/2020/0730/17606.html" TargetMode="External" /><Relationship Id="rId16" Type="http://schemas.openxmlformats.org/officeDocument/2006/relationships/hyperlink" Target="http://www.gk114.com/a/gxzs/zszc/anhui/2021/0614/19928.html" TargetMode="External" /><Relationship Id="rId17" Type="http://schemas.openxmlformats.org/officeDocument/2006/relationships/hyperlink" Target="http://www.gk114.com/a/gxzs/zszc/anhui/2019/0222/6643.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anhui/2019/0222/6627.html" TargetMode="External" /><Relationship Id="rId5" Type="http://schemas.openxmlformats.org/officeDocument/2006/relationships/hyperlink" Target="http://www.gk114.com/a/gxzs/zszc/anhui/" TargetMode="External" /><Relationship Id="rId6" Type="http://schemas.openxmlformats.org/officeDocument/2006/relationships/hyperlink" Target="http://www.gk114.com/a/gxzs/zszc/anhui/2022/0417/22172.html" TargetMode="External" /><Relationship Id="rId7" Type="http://schemas.openxmlformats.org/officeDocument/2006/relationships/hyperlink" Target="http://www.gk114.com/a/gxzs/zszc/anhui/2022/0417/22171.html" TargetMode="External" /><Relationship Id="rId8" Type="http://schemas.openxmlformats.org/officeDocument/2006/relationships/hyperlink" Target="http://www.gk114.com/a/gxzs/zszc/anhui/2022/0406/22085.html" TargetMode="External" /><Relationship Id="rId9" Type="http://schemas.openxmlformats.org/officeDocument/2006/relationships/hyperlink" Target="http://www.gk114.com/a/gxzs/zszc/anhui/2022/0220/2176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