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山西农业大学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山西农业大学全日制普通本科招生工作规范、有序的进行，维护学校和考生合法权益，根据《中华人民共和国教育法》、《中华人民共和国高等教育法》等相关法律和教育部有关规定，并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本章程适用于山西农业大学全日制普通本科招生工作。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山西农业大学招生工作严格执行教育部和各省（市、区）招生管理部门的有关规定，遵循</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山西农业大学招生工作接受纪检监察部门、新闻媒体、考生及其家长和社会各界的监督。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学校全称：山西农业大学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学校地址：山西省晋中市太谷县</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 030801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山西农业大学成立普通本科招生工作领导组，由校领导和有关部门负责人等组成，负责全校的普通本科招生工作，制定招生政策和招生计划，讨论决定招生工作重大事宜。学校在招生录取期间成立招生办公室、录取监督办公室等具体工作机构，教师代表、学生代表和校友代表作为成员参加，对招生工作程序和录取的公平公正性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山西农业大学的新生录取通知书由校长赵春明签发。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山西农业大学招生就业处负责全日制普通本科招生的日常事务。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招生录取的工作全过程要在监督下开展。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外语语种要求：英语专业限英语，其余各专业不限语种，但我校外语公共课只开设英语、日语。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要求：按教育部、卫生部、中国残疾人联合会颁布的《普通高等学校招生体检工作指导意见》并参照本校相关专业报考要求执行，其中软件工程专业的体检要求参照计算机科学与技术专业执行。入学后进行体检复查，发现高考体检弄虚作假的考生做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男女比例要求：不做规定。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招生计划分配及使用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我校招生计划通过各省级招生主管部门、学校网站等形式向考生公布。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投档比例：根据各省（市、区）生源情况确定投挡比例，原则上控制在招生计划的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招生计划分配原则：根据学校办学定位、办学条件，紧密结合经济社会发展需求，统筹分配专业招生计划，以促进专业教育内涵发展、提高教育质量。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招生计划分配方法：在征求学院建议招生计划的基础上，结合上一年度的招生基数、计划完成率、学生报到率、年度学生就业率以及社会需求等方面的情况，由学校统筹确定分省分专业招生计划数。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预留计划数及使用原则：我校预留计划数不超过校本部年度本科计划的</w:t>
      </w:r>
      <w:r>
        <w:rPr>
          <w:rFonts w:ascii="Times New Roman" w:eastAsia="Times New Roman" w:hAnsi="Times New Roman" w:cs="Times New Roman"/>
        </w:rPr>
        <w:t>1%</w:t>
      </w:r>
      <w:r>
        <w:rPr>
          <w:rFonts w:ascii="SimSun" w:eastAsia="SimSun" w:hAnsi="SimSun" w:cs="SimSun"/>
        </w:rPr>
        <w:t>。预留计划坚持集体议事、集体决策、公开透明的原则，用于调节各省（市、区）统考上线生源的不平衡及实行平行志愿投档录取模式的省（市、区）统考线上同分段考生的录取。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的原则进行录取，即按照考生所在省级招办投档成绩由高分到低分排序，依据考生志愿顺序录取，不设分数级差。若出现考生投档成绩相同时，按单科成绩依次由高分到低分择优录取，单科成绩排序的科目顺序是</w:t>
      </w:r>
      <w:r>
        <w:rPr>
          <w:rFonts w:ascii="Times New Roman" w:eastAsia="Times New Roman" w:hAnsi="Times New Roman" w:cs="Times New Roman"/>
        </w:rPr>
        <w:t>:</w:t>
      </w:r>
      <w:r>
        <w:rPr>
          <w:rFonts w:ascii="SimSun" w:eastAsia="SimSun" w:hAnsi="SimSun" w:cs="SimSun"/>
        </w:rPr>
        <w:t>理工类考生为数学、语文、理科综合、外语，文史类考生为语文、数学、文科综合、外语。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成绩无法满足其所填报的专业志愿时，如果考生服从专业调剂，学校根据考生的投档成绩由高分到低分调剂到招生计划尚未完成的专业，直至录满。对于按以上原则仍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上海、浙江等实施考试招生制度综合改革的省市，分别以上海、浙江两地相关文件规定执行；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我校在江苏省招生执行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即按照考生所在省级招办投档成绩由高分到低分排序，依据考生志愿顺序录取，不设分数级差。考生投档成绩相同，理工类考生先按数学、语文单科成绩排序，由高分到低分择优录取，若成绩仍相同，按物理和另一门选测科目先后排序，等级分高者优先录取；文史类考生先按语文、数学单科成绩排序，由高分到低分择优录取，若成绩仍相同，按历史和另一门选测科目先后排序，等级分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高考加分或降分录取，同意各省（市、区）教育行政部门或高考招生管理部门有关加分或降分投档的政策和做法。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艺术（美术）类专业录取，专业课、文化课成绩按照有关省（市、区）艺术（美术）类专业本科划线标准执行。视觉传达设计专业、环境设计专业在文化课成绩达线的前提下，对进档考生按专业课成绩由高分到低分择优录取，录满为止，如出现考生专业课成绩相同情况，按文化课成绩择优录取；数字媒体艺术专业在专业课成绩达线的前提下，按文化课成绩由高分到低分择优录取，录满为止，如出现考生文化课成绩相同情况，按专业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根据我校专业特点，报考我校英语专业凡当地省级招生管理部门规定须加试口语的，同等条件下优先录取口语成绩好的考生；本硕统筹班采取本科与硕士两个阶段统筹培养模式</w:t>
      </w:r>
      <w:r>
        <w:rPr>
          <w:rFonts w:ascii="Times New Roman" w:eastAsia="Times New Roman" w:hAnsi="Times New Roman" w:cs="Times New Roman"/>
        </w:rPr>
        <w:t xml:space="preserve">, </w:t>
      </w:r>
      <w:r>
        <w:rPr>
          <w:rFonts w:ascii="SimSun" w:eastAsia="SimSun" w:hAnsi="SimSun" w:cs="SimSun"/>
        </w:rPr>
        <w:t>实行动态管理，具体实施办法按照《山西农业大学本硕统筹培养实验班管理办法（试行）》执行；卓越人才实验班实行单独编班、小班授课，整合学校优质教学资源，实行个性化培养，并积极借助校企联合培养平台引入大量实践教学资源，为学生提供广阔的自主学习空间和社会实践平台；我校部分专业按专业大类进行招生，其中农学专业中包含农学、农学（功能农业方向）和种子科学与工程三个专业，园艺专业中包含园艺、园艺（花卉与景观设计方向）、设施农业科学与工程三个专业。按专业大类录取的学生，一般采取</w:t>
      </w:r>
      <w:r>
        <w:rPr>
          <w:rFonts w:ascii="Times New Roman" w:eastAsia="Times New Roman" w:hAnsi="Times New Roman" w:cs="Times New Roman"/>
        </w:rPr>
        <w:t>“1+3”</w:t>
      </w:r>
      <w:r>
        <w:rPr>
          <w:rFonts w:ascii="SimSun" w:eastAsia="SimSun" w:hAnsi="SimSun" w:cs="SimSun"/>
        </w:rPr>
        <w:t>或</w:t>
      </w:r>
      <w:r>
        <w:rPr>
          <w:rFonts w:ascii="Times New Roman" w:eastAsia="Times New Roman" w:hAnsi="Times New Roman" w:cs="Times New Roman"/>
        </w:rPr>
        <w:t>“2+2”</w:t>
      </w:r>
      <w:r>
        <w:rPr>
          <w:rFonts w:ascii="SimSun" w:eastAsia="SimSun" w:hAnsi="SimSun" w:cs="SimSun"/>
        </w:rPr>
        <w:t>的学年制培养模式，由学院根据实际教学需要选择。即学生用一年或两年的时间修完规定的专业大类共修课程后，按照《山西农业大学大类招生与专业分流管理办法（试行）》，分流到专业大类内相应专业继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按照教育部、财政部关于国际教育的相关政策以及我省开展国际教育合作框架协议，学校与美国博伊西州立大学等部分国外大学签订了校际合作协议，互认培养课程及修读学分，鼓励符合条件的在校优秀本科生申请到国外大学学习交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少数民族考生报考我校必须能够熟练运用汉语开展文化课程的学习与考试。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我校收费标准严格执行山西省发展和改革委员会（晋发改收费发</w:t>
      </w:r>
      <w:r>
        <w:rPr>
          <w:rFonts w:ascii="Times New Roman" w:eastAsia="Times New Roman" w:hAnsi="Times New Roman" w:cs="Times New Roman"/>
        </w:rPr>
        <w:t>[2018]293</w:t>
      </w:r>
      <w:r>
        <w:rPr>
          <w:rFonts w:ascii="SimSun" w:eastAsia="SimSun" w:hAnsi="SimSun" w:cs="SimSun"/>
        </w:rPr>
        <w:t>号）批准的标准。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学生毕业时，符合山西农业大学毕业要求者，由山西农业大学颁发毕业证书，其中符合学士学位授予条件者，由山西农业大学颁发学士学位证书。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我校设有各类奖助学金十余项，奖励或资助品学兼优及家庭经济困难的学生，主要有国家奖学金、国家励志奖学金、国家助学金、校长奖学金、优秀学生专业奖学金、单项优秀奖、恒天然奖学金、华革吴祺光爱心助学金及新芽济困助学金等；同时设有李焕章基金奖学金、晨熙助农基金奖学金、华顿助农基金奖学金、科技传播奖学金、大北农励志奖（助）学金、大象励志奖学金、杨兴周奖学金、中兴励志奖学金、金瓯奖学金等面向相关学院的奖学金十余种；学校还为家庭经济特别困难的学生提供勤工助学岗位。家庭经济困难的学生还可持录取通知书与当地教育部门取得联系，申请办理生源地助学贷款，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w:t>
      </w:r>
      <w:r>
        <w:rPr>
          <w:rFonts w:ascii="Times New Roman" w:eastAsia="Times New Roman" w:hAnsi="Times New Roman" w:cs="Times New Roman"/>
        </w:rPr>
        <w:t xml:space="preserve">  </w:t>
      </w:r>
      <w:r>
        <w:rPr>
          <w:rFonts w:ascii="SimSun" w:eastAsia="SimSun" w:hAnsi="SimSun" w:cs="SimSun"/>
        </w:rPr>
        <w:t>我校的招生录取结果可由当地招生管理部门确定的方式向社会公布，也可登陆山西农业大学校园网查询。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//www.sxau.edu.cn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zb@sxau.edu.cn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0354-6288909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0354-6288909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本章程由山西农业大学招生就业处负责解释。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20.html" TargetMode="External" /><Relationship Id="rId5" Type="http://schemas.openxmlformats.org/officeDocument/2006/relationships/hyperlink" Target="http://www.gk114.com/a/gxzs/zszc/shanxi/2019/0221/642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