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山西华澳商贸职业学院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根据《中华人民共和国教育法》、《中华人民共和国高等教育法》等相关法律以及教育部、省教育厅、山西省招生考试管理中心的有关规定，特制订本章程。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山西华澳商贸职业学院。</w:t>
      </w:r>
      <w:r>
        <w:rPr>
          <w:rFonts w:ascii="Microsoft YaHei" w:eastAsia="Microsoft YaHei" w:hAnsi="Microsoft YaHei" w:cs="Microsoft YaHei"/>
          <w:b/>
          <w:bCs/>
          <w:color w:val="333333"/>
        </w:rPr>
        <w:t>学校地址：</w:t>
      </w:r>
      <w:r>
        <w:rPr>
          <w:rFonts w:ascii="Microsoft YaHei" w:eastAsia="Microsoft YaHei" w:hAnsi="Microsoft YaHei" w:cs="Microsoft YaHei"/>
          <w:color w:val="333333"/>
        </w:rPr>
        <w:t>山西省晋中市榆次工业园区创业街838号。</w:t>
      </w:r>
      <w:r>
        <w:rPr>
          <w:rFonts w:ascii="Microsoft YaHei" w:eastAsia="Microsoft YaHei" w:hAnsi="Microsoft YaHei" w:cs="Microsoft YaHei"/>
          <w:b/>
          <w:bCs/>
          <w:color w:val="333333"/>
        </w:rPr>
        <w:t>英文译名：</w:t>
      </w:r>
      <w:r>
        <w:rPr>
          <w:rFonts w:ascii="Microsoft YaHei" w:eastAsia="Microsoft YaHei" w:hAnsi="Microsoft YaHei" w:cs="Microsoft YaHei"/>
          <w:color w:val="333333"/>
        </w:rPr>
        <w:t>China Australia Business College of Shanxi 。</w:t>
      </w:r>
      <w:r>
        <w:rPr>
          <w:rFonts w:ascii="Microsoft YaHei" w:eastAsia="Microsoft YaHei" w:hAnsi="Microsoft YaHei" w:cs="Microsoft YaHei"/>
          <w:b/>
          <w:bCs/>
          <w:color w:val="333333"/>
        </w:rPr>
        <w:t>学校</w:t>
      </w:r>
      <w:r>
        <w:rPr>
          <w:rFonts w:ascii="Microsoft YaHei" w:eastAsia="Microsoft YaHei" w:hAnsi="Microsoft YaHei" w:cs="Microsoft YaHei"/>
          <w:b/>
          <w:bCs/>
          <w:color w:val="333333"/>
        </w:rPr>
        <w:t>代码：</w:t>
      </w:r>
      <w:r>
        <w:rPr>
          <w:rFonts w:ascii="Microsoft YaHei" w:eastAsia="Microsoft YaHei" w:hAnsi="Microsoft YaHei" w:cs="Microsoft YaHei"/>
          <w:color w:val="333333"/>
        </w:rPr>
        <w:t>13914。</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高职（专科）。</w:t>
      </w:r>
      <w:r>
        <w:rPr>
          <w:rFonts w:ascii="Microsoft YaHei" w:eastAsia="Microsoft YaHei" w:hAnsi="Microsoft YaHei" w:cs="Microsoft YaHei"/>
          <w:b/>
          <w:bCs/>
          <w:color w:val="333333"/>
        </w:rPr>
        <w:t>办学性质：</w:t>
      </w:r>
      <w:r>
        <w:rPr>
          <w:rFonts w:ascii="Microsoft YaHei" w:eastAsia="Microsoft YaHei" w:hAnsi="Microsoft YaHei" w:cs="Microsoft YaHei"/>
          <w:color w:val="333333"/>
        </w:rPr>
        <w:t>民办。</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高等职业学校。</w:t>
      </w:r>
      <w:r>
        <w:rPr>
          <w:rFonts w:ascii="Microsoft YaHei" w:eastAsia="Microsoft YaHei" w:hAnsi="Microsoft YaHei" w:cs="Microsoft YaHei"/>
          <w:b/>
          <w:bCs/>
          <w:color w:val="333333"/>
        </w:rPr>
        <w:t>办学形式：</w:t>
      </w:r>
      <w:r>
        <w:rPr>
          <w:rFonts w:ascii="Microsoft YaHei" w:eastAsia="Microsoft YaHei" w:hAnsi="Microsoft YaHei" w:cs="Microsoft YaHei"/>
          <w:color w:val="333333"/>
        </w:rPr>
        <w:t>全日制。</w:t>
      </w:r>
      <w:r>
        <w:rPr>
          <w:rFonts w:ascii="Microsoft YaHei" w:eastAsia="Microsoft YaHei" w:hAnsi="Microsoft YaHei" w:cs="Microsoft YaHei"/>
          <w:b/>
          <w:bCs/>
          <w:color w:val="333333"/>
        </w:rPr>
        <w:t>录取通知书签发人</w:t>
      </w:r>
      <w:r>
        <w:rPr>
          <w:rFonts w:ascii="Microsoft YaHei" w:eastAsia="Microsoft YaHei" w:hAnsi="Microsoft YaHei" w:cs="Microsoft YaHei"/>
          <w:color w:val="333333"/>
        </w:rPr>
        <w:t>：白峰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学院成立由主管院领导和有关职能部门负责人组成的招生工作领导小组，下设招生办公室，负责学院招生工作。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计划分配原则：根据毕业生就业率及教学资源编制分省分专业招生计划，并报省教育厅核准，由各省招生管理部门公布为准。计划公布：来源计划与专业招生计划主要有两个公布渠道，一是由省招生管理部门按规定的方式向社会公布；二是由我院通过招生简章与学院网站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我院所设专业包括：工程造价、建设工程管理、现代物流管理、大数据与会计、大数据技术、电子商务、旅游管理、酒店管理与数字化运营、商务日语、应用韩语、物联网应用技术、连锁经营与管理、建筑室内设计、数字媒体艺术设计、人物形象设计、风景园林设计、无人机应用技术、移动互联应用技术、金融科技应用、社区管理与服务、信息安全技术应用、休闲体育、应用俄语、跨境电子商务。各专业招收英语、日语、韩语、俄语四个语种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文史类、理工类按照“分数优先、遵循志愿”安排专业；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对口升学录取规则：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(1)根据山西省招生考试管理中心有关文件精神，按照公平、公正、公开、透明的原则，以考生总成绩为主要指标，以德、智、体全面衡量考生的录取原则择优录取新生。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(2)严格执行省招办有关对口招生录取的各项政策规定，按照省招办划定的最低控制线，按考生成绩和志愿，从高到低投档录取。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(3)对符合国家政策，享受加分政策的考生，可按省招办的规定加分投挡，录取时承认加分。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学院各专业无男女比例限制。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体检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按教育部和卫生部下发的《普通高等学校招生体检工作指导意见》执行。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专业设置及收费</w:t>
      </w:r>
      <w:r>
        <w:rPr>
          <w:rFonts w:ascii="Microsoft YaHei" w:eastAsia="Microsoft YaHei" w:hAnsi="Microsoft YaHei" w:cs="Microsoft YaHei"/>
          <w:b/>
          <w:bCs/>
          <w:color w:val="333333"/>
        </w:rPr>
        <w:t>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各专业收费标准严格按照《关于山西华澳商贸职业学院收费标准的通知》（晋价行字[2008]369号）文件批准的收费标准执行。三年制8800元/年。</w:t>
      </w:r>
    </w:p>
    <w:tbl>
      <w:tblPr>
        <w:tblInd w:w="210" w:type="dxa"/>
        <w:tblCellMar>
          <w:top w:w="15" w:type="dxa"/>
          <w:left w:w="15" w:type="dxa"/>
          <w:bottom w:w="15" w:type="dxa"/>
          <w:right w:w="15" w:type="dxa"/>
        </w:tblCellMar>
      </w:tblPr>
      <w:tblGrid>
        <w:gridCol w:w="960"/>
        <w:gridCol w:w="1440"/>
        <w:gridCol w:w="2880"/>
        <w:gridCol w:w="960"/>
        <w:gridCol w:w="2503"/>
        <w:gridCol w:w="1440"/>
      </w:tblGrid>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收费标准（元/年）</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金融科技应用</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跨境电子商务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连锁经营与管理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440106</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建筑室内设计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550117</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人物形象设计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440105</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风景园林设计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510106</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移动互联应用技术</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510207</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590104</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社区管理与服务</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570302</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休闲体育</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570204</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应用韩语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570205</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商务日语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570210</w:t>
            </w:r>
          </w:p>
        </w:tc>
        <w:tc>
          <w:tcPr>
            <w:tcW w:w="3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应用俄语</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章 新生入学资格审查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新生入学三个月内，学院将组织进行全面审查，资格审查不合格者，学院将区别情况予以处理，直至取消入学资格。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 奖学金</w:t>
      </w:r>
      <w:r>
        <w:rPr>
          <w:rFonts w:ascii="Microsoft YaHei" w:eastAsia="Microsoft YaHei" w:hAnsi="Microsoft YaHei" w:cs="Microsoft YaHei"/>
          <w:b/>
          <w:bCs/>
          <w:color w:val="333333"/>
        </w:rPr>
        <w:t>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我院每学年根据学生的综合测评成绩设立各类奖学金:优秀考生入学奖学金、国家奖学金、国家励志奖学金、国家助学金。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家庭经济困难学生资助</w:t>
      </w:r>
      <w:r>
        <w:rPr>
          <w:rFonts w:ascii="Microsoft YaHei" w:eastAsia="Microsoft YaHei" w:hAnsi="Microsoft YaHei" w:cs="Microsoft YaHei"/>
          <w:b/>
          <w:bCs/>
          <w:color w:val="333333"/>
        </w:rPr>
        <w:t>政策</w:t>
      </w:r>
      <w:r>
        <w:rPr>
          <w:rFonts w:ascii="Microsoft YaHei" w:eastAsia="Microsoft YaHei" w:hAnsi="Microsoft YaHei" w:cs="Microsoft YaHei"/>
          <w:b/>
          <w:bCs/>
          <w:color w:val="333333"/>
        </w:rPr>
        <w:t>及相关程序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我院严格执行国家在高等教育阶段建立起的国家奖学金、国家励志奖学金、国家助学金、国家助学贷款、退役士兵教育资助、基层就业学费补偿助学贷款代偿、服义务兵役国家资助、直招士官国家资助、新生入学资助项目、勤工助学、学费减免等多种形式有机结合的高校家庭经济困难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家庭经济困难学生在入学前，可在家庭户籍所在地的县级教育部门申请办理生源地信用助学贷款，用于解决学费和住宿费。入学时，家庭经济特别困难的新生如暂时筹集不齐学费和住宿费，可在开学报到的当天，通过学院开设的“绿色通道”报到。入校后再向学校申报家庭经济困难情况，由学校核实认定后按照资助政策相关规定予以相应的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颁发学历证书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学生在学校规定学习年限内，修完教育教学计划规定内容，成绩合格，达到学院毕业要求的，准予毕业，并颁发国家承认的专科毕业证书，颁发证书学校名称为“山西华澳商贸职业学院”。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本章程由华澳学院招生委员会2023年4月21日审查通过，适用于山西华澳商贸职业学院2023年招生工作，自公布日起实施。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招生咨询、联系方式: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咨询处： 0351-3624906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 0351-3624907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传真：0354-3993872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学院地址：山西省晋中市榆次工业园区创业街838号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通信地址：山西省晋中市榆次工业园区创业街838号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邮编：030031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网址：www.huaao.sx.cn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本章程由学院招生办公室负责解释。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山西华澳商贸职业学院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20</w:t>
      </w: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年</w:t>
      </w: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月</w:t>
      </w: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72.html" TargetMode="External" /><Relationship Id="rId11" Type="http://schemas.openxmlformats.org/officeDocument/2006/relationships/hyperlink" Target="http://www.gk114.com/a/gxzs/zszc/shanxi/2023/0521/27771.html" TargetMode="External" /><Relationship Id="rId12" Type="http://schemas.openxmlformats.org/officeDocument/2006/relationships/hyperlink" Target="http://www.gk114.com/a/gxzs/zszc/shanxi/2023/0521/27767.html" TargetMode="External" /><Relationship Id="rId13" Type="http://schemas.openxmlformats.org/officeDocument/2006/relationships/hyperlink" Target="http://www.gk114.com/a/gxzs/zszc/shanxi/2023/0521/27763.html" TargetMode="External" /><Relationship Id="rId14" Type="http://schemas.openxmlformats.org/officeDocument/2006/relationships/hyperlink" Target="http://www.gk114.com/a/gxzs/zszc/shanxi/2023/0521/27759.html" TargetMode="External" /><Relationship Id="rId15" Type="http://schemas.openxmlformats.org/officeDocument/2006/relationships/hyperlink" Target="http://www.gk114.com/a/gxzs/zszc/shanxi/2023/0521/2775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79.html" TargetMode="External" /><Relationship Id="rId5" Type="http://schemas.openxmlformats.org/officeDocument/2006/relationships/hyperlink" Target="http://www.gk114.com/a/gxzs/zszc/shanxi/2023/0521/2778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77.html" TargetMode="External" /><Relationship Id="rId8" Type="http://schemas.openxmlformats.org/officeDocument/2006/relationships/hyperlink" Target="http://www.gk114.com/a/gxzs/zszc/shanxi/2023/0521/27776.html" TargetMode="External" /><Relationship Id="rId9" Type="http://schemas.openxmlformats.org/officeDocument/2006/relationships/hyperlink" Target="http://www.gk114.com/a/gxzs/zszc/shanxi/2023/0521/277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