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山西大同大学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以及教育部关于普通高等学校招生工作的有关规定，为规范学校全日制普通本科依法招生工作，提高生源质量，维护学校和考生的合法权益，保证招生工作的顺利进行，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本章程适用于山西大同大学普通高考、专升本考试的招生工作，是社会了解学校有关招生政策、规定及相关信息的主渠道，也是学校开展招生咨询和录取工作的主要依据。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山西大同大学招生工作严格贯彻执行</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山西大同大学招生工作主动接受纪检监察部门、新闻媒体、考生及其家长以及社会各界的监督。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学校全称：山西大同大学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录取通知书签发人：山西大同大学校长</w:t>
      </w:r>
      <w:r>
        <w:rPr>
          <w:rFonts w:ascii="Times New Roman" w:eastAsia="Times New Roman" w:hAnsi="Times New Roman" w:cs="Times New Roman"/>
        </w:rPr>
        <w:t xml:space="preserve"> </w:t>
      </w:r>
      <w:r>
        <w:rPr>
          <w:rFonts w:ascii="SimSun" w:eastAsia="SimSun" w:hAnsi="SimSun" w:cs="SimSun"/>
        </w:rPr>
        <w:t>冯锋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御东校区：山西省大同市平城区兴云街，邮编：</w:t>
      </w:r>
      <w:r>
        <w:rPr>
          <w:rFonts w:ascii="Times New Roman" w:eastAsia="Times New Roman" w:hAnsi="Times New Roman" w:cs="Times New Roman"/>
        </w:rPr>
        <w:t xml:space="preserve">037009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新平旺校区：山西省大同市云冈区同泉路，邮编：</w:t>
      </w:r>
      <w:r>
        <w:rPr>
          <w:rFonts w:ascii="Times New Roman" w:eastAsia="Times New Roman" w:hAnsi="Times New Roman" w:cs="Times New Roman"/>
        </w:rPr>
        <w:t xml:space="preserve">037003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山西大同大学设立招生工作委员会，全面负责学校的招生工作，确定招生工作的总体思路和目标，审议招生政策、计划和录取原则，讨论决定招生重大事宜，为招生工作提供指导意见。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山西大同大学招生就业处是山西大同大学组织和实施招生工作的常设机构，具体负责山西大同大学普通本科、专升本招生的日常工作。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山西大同大学招生规模由学校招生工作委员会研究决定。根据学校的发展规划、人才培养目标、办学条件、学科发展、教学资源等实际情况，制定各专业计划；根据各省（区、市）考生人数、生源计划执行情况、学生就业情况以及区域协调发展和国家重点战略部署的有关政策等因素，合理确定分省计划。年度招生计划及分省分专业招生计划以教育部及各省级招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根据有关规定学校可预留不超过总计划的</w:t>
      </w:r>
      <w:r>
        <w:rPr>
          <w:rFonts w:ascii="Times New Roman" w:eastAsia="Times New Roman" w:hAnsi="Times New Roman" w:cs="Times New Roman"/>
        </w:rPr>
        <w:t>1%</w:t>
      </w:r>
      <w:r>
        <w:rPr>
          <w:rFonts w:ascii="SimSun" w:eastAsia="SimSun" w:hAnsi="SimSun" w:cs="SimSun"/>
        </w:rPr>
        <w:t>作为预留计划，</w:t>
      </w:r>
      <w:r>
        <w:rPr>
          <w:rFonts w:ascii="Times New Roman" w:eastAsia="Times New Roman" w:hAnsi="Times New Roman" w:cs="Times New Roman"/>
        </w:rPr>
        <w:t>2020</w:t>
      </w:r>
      <w:r>
        <w:rPr>
          <w:rFonts w:ascii="SimSun" w:eastAsia="SimSun" w:hAnsi="SimSun" w:cs="SimSun"/>
        </w:rPr>
        <w:t>年学校预留计划</w:t>
      </w:r>
      <w:r>
        <w:rPr>
          <w:rFonts w:ascii="Times New Roman" w:eastAsia="Times New Roman" w:hAnsi="Times New Roman" w:cs="Times New Roman"/>
        </w:rPr>
        <w:t>20</w:t>
      </w:r>
      <w:r>
        <w:rPr>
          <w:rFonts w:ascii="SimSun" w:eastAsia="SimSun" w:hAnsi="SimSun" w:cs="SimSun"/>
        </w:rPr>
        <w:t>个，用于解决平行志愿最低录取线上相同分数段考生的顺延录取，同时兼顾调节生源不平衡的情况。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山西大同大学招生录取工作执行教育部规定的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录取体制，对普通高考、专升本考生全部贯彻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的原则，在各省（区、市）招生委员会统一组织下进行。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根据各省（区、市）考生报考情况，与省级招办协商确定调阅考生档案比例。实行平行志愿投档的批次，调档比例在模拟投档后确定，原则上控制在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投档录取时，我校认可各省（区、市）招生主管部门根据教育部相关政策给予考生的全国性政策性加分。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进档考生在思想政治品德考核和身体健康状况检查合格的基础上，理工类、文史类考生依据考生志愿，按投档成绩从高分到低分顺序录取。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体育、音乐、美术类专业要求省统考专业课、文化课成绩达到考生所在省划定的相应类别、批次录取控制线，按专业成绩从高分到低分顺序录取。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音乐表演专业分行当、按专业成绩从高分到低分顺序录取；首次投档，如果器乐类生源不足时以声乐补足。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高水平运动队考生录取依据教育部、国家体育总局、省级招生主管部门和我校制定的相关规定执行，经公示无异议后方可报考并享受我校相应类型录取政策。详情请参阅</w:t>
      </w:r>
      <w:r>
        <w:rPr>
          <w:rFonts w:ascii="Times New Roman" w:eastAsia="Times New Roman" w:hAnsi="Times New Roman" w:cs="Times New Roman"/>
        </w:rPr>
        <w:t>“</w:t>
      </w:r>
      <w:r>
        <w:rPr>
          <w:rFonts w:ascii="SimSun" w:eastAsia="SimSun" w:hAnsi="SimSun" w:cs="SimSun"/>
        </w:rPr>
        <w:t>山西大同大学</w:t>
      </w:r>
      <w:r>
        <w:rPr>
          <w:rFonts w:ascii="Times New Roman" w:eastAsia="Times New Roman" w:hAnsi="Times New Roman" w:cs="Times New Roman"/>
        </w:rPr>
        <w:t>2020</w:t>
      </w:r>
      <w:r>
        <w:rPr>
          <w:rFonts w:ascii="SimSun" w:eastAsia="SimSun" w:hAnsi="SimSun" w:cs="SimSun"/>
        </w:rPr>
        <w:t>年高水平运动员招生简章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专业安排以专业志愿清的原则分配，进档考生按专业志愿和投档成绩依次安排专业；分数相同的考生在分配专业时文科按语文、数学、文科综合，理科按数学、语文、理科综合的成绩为序，对比单科成绩由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体育、美术、音乐等专业考生专业测试成绩相同时，按文化课成绩由高到低安排专业。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北京市、天津市、上海市、浙江省、海南省等综合改革省（市）考生须满足我校</w:t>
      </w:r>
      <w:r>
        <w:rPr>
          <w:rFonts w:ascii="Times New Roman" w:eastAsia="Times New Roman" w:hAnsi="Times New Roman" w:cs="Times New Roman"/>
        </w:rPr>
        <w:t>2020</w:t>
      </w:r>
      <w:r>
        <w:rPr>
          <w:rFonts w:ascii="SimSun" w:eastAsia="SimSun" w:hAnsi="SimSun" w:cs="SimSun"/>
        </w:rPr>
        <w:t>年相应专业对选考科目范围的要求，考生投档成绩相同时参考高中综合素质评价。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英语类专业只招英语考生，俄语专业为英语或俄语，其它专业均为英语。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采矿工程专业只招男生，其它专业男女不限。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按照录取规则，所报专业志愿都不能满足且不愿调剂的考生予以退档；所报专业志愿不能满足但愿意服从调剂的考生可安排到有缺额的专业。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教育部、卫生部、中国残疾人联合会印发的《普通高等学校招生体检工作指导意见》执行。新生入学报到时，学校对新生进行健康复检，复检不合格的考生，根据实际情况按照《山西大同大学学生学籍管理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毕业时，符合山西大同大学颁发毕业证书条件者，颁发山西大同大学毕业证书；符合山西大同大学学士学位授予条件者，颁发山西大同大学学位证书。此外，专升本、分校毕业生（含五年一贯制）在毕业证上分别体现专科起点本科和山西大同大学分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收费标准：严格执行省发改委、财政厅、教育厅（晋发收费发</w:t>
      </w:r>
      <w:r>
        <w:rPr>
          <w:rFonts w:ascii="Times New Roman" w:eastAsia="Times New Roman" w:hAnsi="Times New Roman" w:cs="Times New Roman"/>
        </w:rPr>
        <w:t>[2018]293</w:t>
      </w:r>
      <w:r>
        <w:rPr>
          <w:rFonts w:ascii="SimSun" w:eastAsia="SimSun" w:hAnsi="SimSun" w:cs="SimSun"/>
        </w:rPr>
        <w:t>号）文件规定的学费标准按年度收取，如有变动，则以物价部门最新批准的标准执行。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w:t>
      </w:r>
      <w:r>
        <w:rPr>
          <w:rFonts w:ascii="Times New Roman" w:eastAsia="Times New Roman" w:hAnsi="Times New Roman" w:cs="Times New Roman"/>
        </w:rPr>
        <w:t xml:space="preserve"> </w:t>
      </w:r>
      <w:r>
        <w:rPr>
          <w:rFonts w:ascii="SimSun" w:eastAsia="SimSun" w:hAnsi="SimSun" w:cs="SimSun"/>
        </w:rPr>
        <w:t>符合条件的在校生可参评享受国家奖学金、励志奖学金、国家助学金及山西大同大学学生奖学金。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学校设有一定数量的勤工助学岗位以帮助建档立卡及生活困难的学生顺利完成学业。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学校网址：山西大同大学</w:t>
      </w:r>
      <w:r>
        <w:rPr>
          <w:rFonts w:ascii="Times New Roman" w:eastAsia="Times New Roman" w:hAnsi="Times New Roman" w:cs="Times New Roman"/>
        </w:rPr>
        <w:t xml:space="preserve">http://www.sxdtdx.edu.cn/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招生就业处网址：</w:t>
      </w:r>
      <w:r>
        <w:rPr>
          <w:rFonts w:ascii="Times New Roman" w:eastAsia="Times New Roman" w:hAnsi="Times New Roman" w:cs="Times New Roman"/>
        </w:rPr>
        <w:t xml:space="preserve">http://zsjyc.sxdtdx.edu.cn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0352-7563686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在招生咨询过程中，咨询人员的咨询意见、建议仅作为考生填报志愿的参考，不属于学校录取承诺。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本章程自发布之日起执行，如遇部分省份高考招生政策调整，学校将根据当地相关政策，调整相应的录取办法，并另行公布。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本章程由山西大同大学招生就业处负责解释。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14.html" TargetMode="External" /><Relationship Id="rId5" Type="http://schemas.openxmlformats.org/officeDocument/2006/relationships/hyperlink" Target="http://www.gk114.com/a/gxzs/zszc/shanxi/2020/0703/1731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