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山西工商学院二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0</w:t>
      </w:r>
      <w:r>
        <w:rPr>
          <w:rFonts w:ascii="SimSun" w:eastAsia="SimSun" w:hAnsi="SimSun" w:cs="SimSun"/>
          <w:kern w:val="36"/>
          <w:sz w:val="48"/>
          <w:szCs w:val="48"/>
        </w:rPr>
        <w:t>二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为做好学校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工作，坚持依法治招，切实维护学校及考生的合法权益，根据《中华人民共和国教育法》、《中华人民共和国高等教育法》及各省（自治区、直辖市）教育主管部门普通高等学校招生、录取工作相关文件规定，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本章程适用于山西工商学院本科招生工作。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公平竞争、公正选拔、公开程序，德智体全面考核、择优录取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招生工作接受纪检监察部门、考生及其家长和社会各界的监督。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学校名称：山西工商学院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13691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学校地址：山西省太原市小店区坞城南路</w:t>
      </w:r>
      <w:r>
        <w:rPr>
          <w:rFonts w:ascii="Times New Roman" w:eastAsia="Times New Roman" w:hAnsi="Times New Roman" w:cs="Times New Roman"/>
        </w:rPr>
        <w:t>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办学类型：普通高等学校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体检要求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报考我校的考生身体要求严格按照《普通高校体检工作指导意见》执行。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报考酒店管理本科专业考生，要求五官端正、身体匀称、肢体无残疾、无传染性疾病、视力正常。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报考学前教育专业考生要求五官端正、身体匀称、肢体无残疾，无斜视，无色盲、色弱，无纹身，面部及身体暴露部分无明显疤痕，听力正常。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在国家及山西省政策指导下根据学校人才培养、办学条件等实际情况确定招生规模并报上级主管部门。严格按照省级教育行政主管部门核准的分省分专业招生计划执行。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有关省（区、市）分专业招生计划，统筹考虑各省（区、市）考生人数、生源质量以及学校往年计划执行情况等因素编报分省计划，报各省级招生计划管理部门核准后向社会公布。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预留计划数量及使用原则：根据教育部文件精神，我院预留计划数量不超过本科招生规模的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。预留计划用于调节各地统考上线的不平衡，以及解决由于平行志愿产生的生源地上线同分段考生问题。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新生的录取坚持德、智、体全面衡量，以文化课考试成绩为主，坚持公平、公正和择优录取的原则。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投档比例：执行各省（自治区、直辖市）招办划定的投档比例。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对于实行平行志愿投档的省份或批次，学校按照平行志愿投档政策录取；对于非平行志愿投档的省份或批次，优先录取第一志愿报考我校的考生。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对于进档考生专业安排：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）我校对进档考生按其专业志愿确定专业。若出现考生总分相同时，文史类按照语文、数学、综合成绩顺序录取，理工类按照数学、语文、综合成绩顺序录取。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）专业志愿不能满足的考生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对于服从专业调剂的考生，将随机调剂到录取计划未满的专业。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艺术类录取原则：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）视觉传达设计专业使用山西省美术类统考成绩，进档考生按高考文化成绩由高到低排序择优录取。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数字媒体艺术专业使用山西省美术类统考成绩，进档考生按综合成绩从高到低排序；如果综合成绩相同，则按文化成绩总分依次从高到低排序；如果文化成绩总分相同时，再按文化单科成绩依次从高到低进行排序。文化单科成绩排序的科目为：</w:t>
      </w: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语文；</w:t>
      </w: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数学；</w:t>
      </w: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）播音与主持艺术专业使用山西省播音与主持艺术专业联考成绩，进档考生按高考文化成绩由高到低排序择优录取。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）广播电视编导专业使用山西省广播电视编导专业联考成绩，进档考生按高考文化成绩由高到低排序择优录取。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）舞蹈编导专业使用山西省舞蹈类统考成绩，进档考生按专业成绩由高到低排序择优录取。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）音乐表演专业使用山西省音乐类统考成绩，对于进档考生，音乐表演专业（声乐）按专业成绩由高到低择优录取；音乐表演专业（器乐）按器乐各行当专业成绩由高到低择优录取。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）表演专业使用山西省表演类统考成绩，进档考生按专业成绩由高到低排序择优录取。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）航空服务艺术与管理专业使用山西省航空服务艺术专业联考成绩，进档考生按照综合成绩由高到低择优录取，综合成绩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文化成绩</w:t>
      </w:r>
      <w:r>
        <w:rPr>
          <w:rFonts w:ascii="Times New Roman" w:eastAsia="Times New Roman" w:hAnsi="Times New Roman" w:cs="Times New Roman"/>
        </w:rPr>
        <w:t>×0.4+</w:t>
      </w:r>
      <w:r>
        <w:rPr>
          <w:rFonts w:ascii="SimSun" w:eastAsia="SimSun" w:hAnsi="SimSun" w:cs="SimSun"/>
        </w:rPr>
        <w:t>专业成绩</w:t>
      </w:r>
      <w:r>
        <w:rPr>
          <w:rFonts w:ascii="Times New Roman" w:eastAsia="Times New Roman" w:hAnsi="Times New Roman" w:cs="Times New Roman"/>
        </w:rPr>
        <w:t>×0.6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）按文化成绩录取的专业，对录取成绩相同的考生，依次以专业测试成绩、语文、数学、综合成绩顺序录取。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）按专业成绩录取的专业，对录取成绩相同的考生，依次以特征成绩、语文、数学、综合成绩顺序录取。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各专业招生均不做男女比例限制。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考生外语语种不受限制，但入校后仅提供英语教学。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在录取过程中，对于非第一志愿的考生无分数级差要求。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学校执行各省（市、自治区）的加分或降分投档的政策（规定）。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SimSun" w:eastAsia="SimSun" w:hAnsi="SimSun" w:cs="SimSun"/>
        </w:rPr>
        <w:t>专升本、对口升学招生严格执行省教育厅、省招生考试管理中心有关文件精神和录取规定，按照考生志愿、成绩由高到低择优录取。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学生奖、助政策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学校对于成绩优秀的新生实行奖励政策。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按照国家相关政策规定，对于家庭贫困的学生可以申请国家助学金，对于品学兼优的学生可以申请国家奖学金、国家励志奖学金。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学校成立山西工商学院教育基金会，对家庭贫困的新生根据其实际情况予以部分或全额学费的资助。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各专业按照山西省物价局（晋价费字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205</w:t>
      </w:r>
      <w:r>
        <w:rPr>
          <w:rFonts w:ascii="SimSun" w:eastAsia="SimSun" w:hAnsi="SimSun" w:cs="SimSun"/>
        </w:rPr>
        <w:t>号文件）批准的学费标准收费。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学历、学位证书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学生学业期满，修完全部教学课程，成绩合格，经审核准予毕业，颁发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山西工商学院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应届本科毕业生如符合学校有关学士学位授予条件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可授予山西工商学院学士学位。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新生在入学报到时，学校将按照有关规定对新生入学资格进行初步审查，对审查不合格的学生，取消其入学资格。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学生在入校后三个月内按照国家招生规定进行入学资格审查，凡发现学生存在弄虚作假、徇私舞弊等情形的，确定为复查不合格，取消其学籍。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学校地址：太原市小店区坞城南路</w:t>
      </w:r>
      <w:r>
        <w:rPr>
          <w:rFonts w:ascii="Times New Roman" w:eastAsia="Times New Roman" w:hAnsi="Times New Roman" w:cs="Times New Roman"/>
        </w:rPr>
        <w:t>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www.sxtbu.net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</w:t>
      </w:r>
      <w:r>
        <w:rPr>
          <w:rFonts w:ascii="Times New Roman" w:eastAsia="Times New Roman" w:hAnsi="Times New Roman" w:cs="Times New Roman"/>
        </w:rPr>
        <w:t xml:space="preserve">: sxgszsb@126.com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0351-7965790/7965792/7965795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0351-2531099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本章程由学校招生办公室负责解释。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年潞安职业技术学院招生章程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1.html" TargetMode="External" /><Relationship Id="rId11" Type="http://schemas.openxmlformats.org/officeDocument/2006/relationships/hyperlink" Target="http://www.gk114.com/a/gxzs/zszc/shanxi/2020/0703/17370.html" TargetMode="External" /><Relationship Id="rId12" Type="http://schemas.openxmlformats.org/officeDocument/2006/relationships/hyperlink" Target="http://www.gk114.com/a/gxzs/zszc/shanxi/2020/0703/17369.html" TargetMode="External" /><Relationship Id="rId13" Type="http://schemas.openxmlformats.org/officeDocument/2006/relationships/hyperlink" Target="http://www.gk114.com/a/gxzs/zszc/shanxi/2020/0703/17368.html" TargetMode="External" /><Relationship Id="rId14" Type="http://schemas.openxmlformats.org/officeDocument/2006/relationships/hyperlink" Target="http://www.gk114.com/a/gxzs/zszc/shanxi/2020/0703/17367.html" TargetMode="External" /><Relationship Id="rId15" Type="http://schemas.openxmlformats.org/officeDocument/2006/relationships/hyperlink" Target="http://www.gk114.com/a/gxzs/zszc/shanxi/2020/0703/17366.html" TargetMode="External" /><Relationship Id="rId16" Type="http://schemas.openxmlformats.org/officeDocument/2006/relationships/hyperlink" Target="http://www.gk114.com/a/gxzs/zszc/shanxi/2020/0703/17365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22.html" TargetMode="External" /><Relationship Id="rId5" Type="http://schemas.openxmlformats.org/officeDocument/2006/relationships/hyperlink" Target="http://www.gk114.com/a/gxzs/zszc/shanxi/2020/0703/17324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311/18953.html" TargetMode="External" /><Relationship Id="rId8" Type="http://schemas.openxmlformats.org/officeDocument/2006/relationships/hyperlink" Target="http://www.gk114.com/a/gxzs/zszc/shanxi/2021/0311/18952.html" TargetMode="External" /><Relationship Id="rId9" Type="http://schemas.openxmlformats.org/officeDocument/2006/relationships/hyperlink" Target="http://www.gk114.com/a/gxzs/zszc/shanxi/2020/0703/173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