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山西师范大学现代文理学院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规范学校招生工作，维护学校与考生的合法权益，公平、公正、公开地选拔符合培养要求的学生，根据《中华人民共和国教育法》《中华人民共和国高等教育法》和山西省教育厅、山西省招生考试管理中心有关文件精神和要求，结合我校实际情况，特制定</w:t>
      </w:r>
      <w:r>
        <w:rPr>
          <w:rFonts w:ascii="Microsoft YaHei" w:eastAsia="Microsoft YaHei" w:hAnsi="Microsoft YaHei" w:cs="Microsoft YaHei"/>
          <w:color w:val="333333"/>
        </w:rPr>
        <w:t>202</w:t>
      </w:r>
      <w:r>
        <w:rPr>
          <w:rFonts w:ascii="Microsoft YaHei" w:eastAsia="Microsoft YaHei" w:hAnsi="Microsoft YaHei" w:cs="Microsoft YaHei"/>
          <w:color w:val="333333"/>
        </w:rPr>
        <w:t>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学校名称：山西师范大学现代文理学院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院校代码：</w:t>
      </w:r>
      <w:r>
        <w:rPr>
          <w:rFonts w:ascii="Microsoft YaHei" w:eastAsia="Microsoft YaHei" w:hAnsi="Microsoft YaHei" w:cs="Microsoft YaHei"/>
          <w:color w:val="333333"/>
        </w:rPr>
        <w:t>13537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学校地址：山西省临汾市尧都区滨河西路</w:t>
      </w:r>
      <w:r>
        <w:rPr>
          <w:rFonts w:ascii="Microsoft YaHei" w:eastAsia="Microsoft YaHei" w:hAnsi="Microsoft YaHei" w:cs="Microsoft YaHei"/>
          <w:color w:val="333333"/>
        </w:rPr>
        <w:t>501号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山西师范大学现代文理学院设立招生工作领导小组，负责研究</w:t>
      </w:r>
      <w:r>
        <w:rPr>
          <w:rFonts w:ascii="Microsoft YaHei" w:eastAsia="Microsoft YaHei" w:hAnsi="Microsoft YaHei" w:cs="Microsoft YaHei"/>
          <w:color w:val="333333"/>
        </w:rPr>
        <w:t>制定学院有关招生工作的政策和规定，研究决定招生工作中的重大事宜。未授权或委托任何中介（培训）机构或个人开展招生活动。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山西师范大学现代文理学院党委、工会对招生工作实施监督。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招生计划及招生专业要求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学校根据省教育厅下达的招生计划，在参考往年分省招生计划的基础上，按照优化专业分配结构，稳中求进的工作原则，制定学校分省</w:t>
      </w:r>
      <w:r>
        <w:rPr>
          <w:rFonts w:ascii="Microsoft YaHei" w:eastAsia="Microsoft YaHei" w:hAnsi="Microsoft YaHei" w:cs="Microsoft YaHei"/>
          <w:color w:val="333333"/>
        </w:rPr>
        <w:t>分专业</w:t>
      </w:r>
      <w:r>
        <w:rPr>
          <w:rFonts w:ascii="Microsoft YaHei" w:eastAsia="Microsoft YaHei" w:hAnsi="Microsoft YaHei" w:cs="Microsoft YaHei"/>
          <w:color w:val="333333"/>
        </w:rPr>
        <w:t>来源计划，报教育部审核备案，并通过各省级招生主管部门、学校招生章程、学校网站等形式向考生公布。预留计划数量不超过本科招生规模的</w:t>
      </w:r>
      <w:r>
        <w:rPr>
          <w:rFonts w:ascii="Microsoft YaHei" w:eastAsia="Microsoft YaHei" w:hAnsi="Microsoft YaHei" w:cs="Microsoft YaHei"/>
          <w:color w:val="333333"/>
        </w:rPr>
        <w:t>1%，用于调节各地统考上线生源的不平衡、解决平行志愿投档同分段考生。详细计划以各省级招生管理机构公布的招生计划为准。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学校以英语作为基础外语安排教学。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招生工作纪律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严肃招生工作纪律</w:t>
      </w:r>
      <w:r>
        <w:rPr>
          <w:rFonts w:ascii="Microsoft YaHei" w:eastAsia="Microsoft YaHei" w:hAnsi="Microsoft YaHei" w:cs="Microsoft YaHei"/>
          <w:color w:val="333333"/>
        </w:rPr>
        <w:t>,严格遵守高校招生“30个不得”“八项基本要求”等工作纪律，严格执行国家招生计划和招生政策规定。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招生录取工作人员要严格遵守保密制度，严格保守招生工作秘密。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学校实行</w:t>
      </w:r>
      <w:r>
        <w:rPr>
          <w:rFonts w:ascii="Microsoft YaHei" w:eastAsia="Microsoft YaHei" w:hAnsi="Microsoft YaHei" w:cs="Microsoft YaHei"/>
          <w:color w:val="333333"/>
        </w:rPr>
        <w:t>“在思想政治品德考核和身体健康状况检查合格、统考成绩达到录取控制分数线的考生中，结合学业水平考试和综合素质评价择优录取的原则”录取学生。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山西师范大学现代文理学院对考生体检的要求参照教育部《普通高等学校招生体检工作指导意见》执行。航空服务艺术与管理专业考生体检标准按《民用航空人员体检合格证管理规则》（</w:t>
      </w:r>
      <w:r>
        <w:rPr>
          <w:rFonts w:ascii="Microsoft YaHei" w:eastAsia="Microsoft YaHei" w:hAnsi="Microsoft YaHei" w:cs="Microsoft YaHei"/>
          <w:color w:val="333333"/>
        </w:rPr>
        <w:t>CCAR-67FS-R4）及《空勤人员和空中交通管制员体检鉴定医学标准》（AC-67FS-001）IV类标准执行。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文史类、理工类专业录取：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进档考生专业录取采用</w:t>
      </w:r>
      <w:r>
        <w:rPr>
          <w:rFonts w:ascii="Microsoft YaHei" w:eastAsia="Microsoft YaHei" w:hAnsi="Microsoft YaHei" w:cs="Microsoft YaHei"/>
          <w:color w:val="333333"/>
        </w:rPr>
        <w:t>“分数优先、遵循志愿”的录取原则按投档成绩从高分到低分排序进行录取。投档成绩相同时，按各省（区、市）确定的同分排序细则录取。对未被所报专业志愿录取同时又服从专业调剂的考生，参照考生所填报的相关专业志愿，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使用生源地省级统考或联考成绩，在文化考试成绩及专业考试成绩均达到相应科类和批次的最低录取控制分数线的考生中，执行生源所在省该类专业的投档规则，对进档考生以专业志愿优先原则按如下方式录取：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专业：按照综合成绩平行志愿模式投档，综合成绩从高到低排序录取；如果综合成绩相同，则按文化成绩总分依次从高到低排序录取；如果文化成绩总分相同时，再按文化单科成绩依次从高到低进行排序录取。文化单科成绩排序的科目为：</w:t>
      </w:r>
      <w:r>
        <w:rPr>
          <w:rFonts w:ascii="Microsoft YaHei" w:eastAsia="Microsoft YaHei" w:hAnsi="Microsoft YaHei" w:cs="Microsoft YaHei"/>
          <w:color w:val="333333"/>
        </w:rPr>
        <w:t>①语文；②数学；③外语。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书法学专业：按综合成绩（综合成绩</w:t>
      </w:r>
      <w:r>
        <w:rPr>
          <w:rFonts w:ascii="Microsoft YaHei" w:eastAsia="Microsoft YaHei" w:hAnsi="Microsoft YaHei" w:cs="Microsoft YaHei"/>
          <w:color w:val="333333"/>
        </w:rPr>
        <w:t>=专业成绩×40%+文化成绩÷75</w:t>
      </w:r>
      <w:r>
        <w:rPr>
          <w:rFonts w:ascii="Microsoft YaHei" w:eastAsia="Microsoft YaHei" w:hAnsi="Microsoft YaHei" w:cs="Microsoft YaHei"/>
          <w:color w:val="333333"/>
        </w:rPr>
        <w:t>0×100×60%）从高分到低分择优录取，综合成绩相同时参考专业成绩择优录取。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音乐学专业：按专业成绩从高分到低分择优录取，专业成绩相同时参考文化成绩择优录取。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航空服务艺术与管理专业：使用生源地省级联考成绩，进档考生按综合成绩（综合成绩</w:t>
      </w:r>
      <w:r>
        <w:rPr>
          <w:rFonts w:ascii="Microsoft YaHei" w:eastAsia="Microsoft YaHei" w:hAnsi="Microsoft YaHei" w:cs="Microsoft YaHei"/>
          <w:color w:val="333333"/>
        </w:rPr>
        <w:t>=文化课成绩÷750×100×50%+专业成绩÷300×100×50%）从高分到低分择优录取，综合成绩相同时参考专业成绩择优录取。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专升本的招生录取，严格执行省教育厅、省招生考试管理中心有关文件精神和录取规则，从高分到低分择优录取。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根据国家教育部和各省市招办的规定，凡加分考生我校将按加分后的总成绩排队录取，分数相同时优先录取实考分高的考生。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我校学生学习期满</w:t>
      </w:r>
      <w:r>
        <w:rPr>
          <w:rFonts w:ascii="Microsoft YaHei" w:eastAsia="Microsoft YaHei" w:hAnsi="Microsoft YaHei" w:cs="Microsoft YaHei"/>
          <w:color w:val="333333"/>
        </w:rPr>
        <w:t>,修完教育教学计划规定内容，符合教育部《普通高等学校学生管理规定》(2017年教育部令第41号)及有关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颁发学历、学位证书名称：山西师范大学现代文理学院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严格执行山西省物价局（晋价费字</w:t>
      </w:r>
      <w:r>
        <w:rPr>
          <w:rFonts w:ascii="Microsoft YaHei" w:eastAsia="Microsoft YaHei" w:hAnsi="Microsoft YaHei" w:cs="Microsoft YaHei"/>
          <w:color w:val="333333"/>
        </w:rPr>
        <w:t>[2015]205号）收费标准。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奖励与资助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为激励学生全面发展，学校除设有国家奖学金、国家励志奖学金、国家助学金、校专业奖学金，针对家庭经济困难学生，还采取以下资助措施：</w:t>
      </w:r>
      <w:r>
        <w:rPr>
          <w:rFonts w:ascii="Microsoft YaHei" w:eastAsia="Microsoft YaHei" w:hAnsi="Microsoft YaHei" w:cs="Microsoft YaHei"/>
          <w:color w:val="333333"/>
        </w:rPr>
        <w:t> </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1.提供生源地助学贷款帮助；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2.对家庭经济困难学生提供勤工助学岗位。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本章程仅适用于</w:t>
      </w:r>
      <w:r>
        <w:rPr>
          <w:rFonts w:ascii="Microsoft YaHei" w:eastAsia="Microsoft YaHei" w:hAnsi="Microsoft YaHei" w:cs="Microsoft YaHei"/>
          <w:color w:val="333333"/>
        </w:rPr>
        <w:t>202</w:t>
      </w:r>
      <w:r>
        <w:rPr>
          <w:rFonts w:ascii="Microsoft YaHei" w:eastAsia="Microsoft YaHei" w:hAnsi="Microsoft YaHei" w:cs="Microsoft YaHei"/>
          <w:color w:val="333333"/>
        </w:rPr>
        <w:t>3年度山西师范大学现代文理学院普通本科招生工作。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本章程自公布起开始执行。以前我校有关普通本科招生工作的政策、规定与本章程不一致的，一律废止，均以本章程规定为准。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国家招生政策调整时，以新的国家招生政策为准。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本章程由山西师范大学现代文理学院负责解释。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山西师范大学现代文理学院网址：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http://www.xdwl-sxnu.cn/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招生办电话：</w:t>
      </w:r>
      <w:r>
        <w:rPr>
          <w:rFonts w:ascii="Microsoft YaHei" w:eastAsia="Microsoft YaHei" w:hAnsi="Microsoft YaHei" w:cs="Microsoft YaHei"/>
          <w:color w:val="333333"/>
        </w:rPr>
        <w:t>0357-5909111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w:t>
      </w:r>
      <w:r>
        <w:rPr>
          <w:rFonts w:ascii="Microsoft YaHei" w:eastAsia="Microsoft YaHei" w:hAnsi="Microsoft YaHei" w:cs="Microsoft YaHei"/>
          <w:color w:val="333333"/>
        </w:rPr>
        <w:t> </w:t>
      </w:r>
      <w:r>
        <w:rPr>
          <w:rFonts w:ascii="Microsoft YaHei" w:eastAsia="Microsoft YaHei" w:hAnsi="Microsoft YaHei" w:cs="Microsoft YaHei"/>
          <w:color w:val="333333"/>
        </w:rPr>
        <w:t>编：</w:t>
      </w:r>
      <w:r>
        <w:rPr>
          <w:rFonts w:ascii="Microsoft YaHei" w:eastAsia="Microsoft YaHei" w:hAnsi="Microsoft YaHei" w:cs="Microsoft YaHei"/>
          <w:color w:val="333333"/>
        </w:rPr>
        <w:t>041000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r>
        <w:rPr>
          <w:rFonts w:ascii="Microsoft YaHei" w:eastAsia="Microsoft YaHei" w:hAnsi="Microsoft YaHei" w:cs="Microsoft YaHei"/>
          <w:color w:val="333333"/>
        </w:rPr>
        <w:t>wlxyzsb@126.com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通信地址：山西省临汾市尧都区滨河西路</w:t>
      </w:r>
      <w:r>
        <w:rPr>
          <w:rFonts w:ascii="Microsoft YaHei" w:eastAsia="Microsoft YaHei" w:hAnsi="Microsoft YaHei" w:cs="Microsoft YaHei"/>
          <w:color w:val="333333"/>
        </w:rPr>
        <w:t>501号。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0.html" TargetMode="External" /><Relationship Id="rId11" Type="http://schemas.openxmlformats.org/officeDocument/2006/relationships/hyperlink" Target="http://www.gk114.com/a/gxzs/zszc/shanxi/2023/0521/27789.html" TargetMode="External" /><Relationship Id="rId12" Type="http://schemas.openxmlformats.org/officeDocument/2006/relationships/hyperlink" Target="http://www.gk114.com/a/gxzs/zszc/shanxi/2023/0521/27786.html" TargetMode="External" /><Relationship Id="rId13" Type="http://schemas.openxmlformats.org/officeDocument/2006/relationships/hyperlink" Target="http://www.gk114.com/a/gxzs/zszc/shanxi/2023/0521/27784.html" TargetMode="External" /><Relationship Id="rId14" Type="http://schemas.openxmlformats.org/officeDocument/2006/relationships/hyperlink" Target="http://www.gk114.com/a/gxzs/zszc/shanxi/2023/0521/27783.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94.html" TargetMode="External" /><Relationship Id="rId5" Type="http://schemas.openxmlformats.org/officeDocument/2006/relationships/hyperlink" Target="http://www.gk114.com/a/gxzs/zszc/shanxi/2023/0521/2779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93.html" TargetMode="External" /><Relationship Id="rId8" Type="http://schemas.openxmlformats.org/officeDocument/2006/relationships/hyperlink" Target="http://www.gk114.com/a/gxzs/zszc/shanxi/2023/0521/27792.html" TargetMode="External" /><Relationship Id="rId9" Type="http://schemas.openxmlformats.org/officeDocument/2006/relationships/hyperlink" Target="http://www.gk114.com/a/gxzs/zszc/shanxi/2023/0521/277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