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山西林业职业技术学院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贯彻落实招生“阳光工程”，规范招生行为，维护考生合法权益，保证学院招生工作顺利进行，依据《中华人民共和国教育法》、《中华人民共和国高等教育法》和教育部有关规定，结合学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一、学校名称：</w:t>
      </w:r>
      <w:r>
        <w:rPr>
          <w:rFonts w:ascii="Microsoft YaHei" w:eastAsia="Microsoft YaHei" w:hAnsi="Microsoft YaHei" w:cs="Microsoft YaHei"/>
          <w:color w:val="666666"/>
          <w:sz w:val="21"/>
          <w:szCs w:val="21"/>
        </w:rPr>
        <w:t>山西林业职业技术学院</w:t>
      </w:r>
      <w:r>
        <w:rPr>
          <w:rFonts w:ascii="Microsoft YaHei" w:eastAsia="Microsoft YaHei" w:hAnsi="Microsoft YaHei" w:cs="Microsoft YaHei"/>
          <w:b/>
          <w:bCs/>
          <w:color w:val="666666"/>
          <w:sz w:val="21"/>
          <w:szCs w:val="21"/>
        </w:rPr>
        <w:t>     学校代码：</w:t>
      </w:r>
      <w:r>
        <w:rPr>
          <w:rFonts w:ascii="Microsoft YaHei" w:eastAsia="Microsoft YaHei" w:hAnsi="Microsoft YaHei" w:cs="Microsoft YaHei"/>
          <w:color w:val="666666"/>
          <w:sz w:val="21"/>
          <w:szCs w:val="21"/>
        </w:rPr>
        <w:t>12891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办学性质：</w:t>
      </w:r>
      <w:r>
        <w:rPr>
          <w:rFonts w:ascii="Microsoft YaHei" w:eastAsia="Microsoft YaHei" w:hAnsi="Microsoft YaHei" w:cs="Microsoft YaHei"/>
          <w:color w:val="666666"/>
          <w:sz w:val="21"/>
          <w:szCs w:val="21"/>
        </w:rPr>
        <w:t>公办           </w:t>
      </w: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办学形式</w:t>
      </w:r>
      <w:r>
        <w:rPr>
          <w:rFonts w:ascii="Microsoft YaHei" w:eastAsia="Microsoft YaHei" w:hAnsi="Microsoft YaHei" w:cs="Microsoft YaHei"/>
          <w:color w:val="666666"/>
          <w:sz w:val="21"/>
          <w:szCs w:val="21"/>
        </w:rPr>
        <w:t>：全日制         </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录取通知书签发人姓名:</w:t>
      </w:r>
      <w:r>
        <w:rPr>
          <w:rFonts w:ascii="Microsoft YaHei" w:eastAsia="Microsoft YaHei" w:hAnsi="Microsoft YaHei" w:cs="Microsoft YaHei"/>
          <w:color w:val="666666"/>
          <w:sz w:val="21"/>
          <w:szCs w:val="21"/>
        </w:rPr>
        <w:t>卢桂宾  </w:t>
      </w:r>
      <w:r>
        <w:rPr>
          <w:rFonts w:ascii="Microsoft YaHei" w:eastAsia="Microsoft YaHei" w:hAnsi="Microsoft YaHei" w:cs="Microsoft YaHei"/>
          <w:b/>
          <w:bCs/>
          <w:color w:val="666666"/>
          <w:sz w:val="21"/>
          <w:szCs w:val="21"/>
        </w:rPr>
        <w:t>签发人职务:</w:t>
      </w:r>
      <w:r>
        <w:rPr>
          <w:rFonts w:ascii="Microsoft YaHei" w:eastAsia="Microsoft YaHei" w:hAnsi="Microsoft YaHei" w:cs="Microsoft YaHei"/>
          <w:color w:val="666666"/>
          <w:sz w:val="21"/>
          <w:szCs w:val="21"/>
        </w:rPr>
        <w:t>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办学地址：</w:t>
      </w:r>
      <w:r>
        <w:rPr>
          <w:rFonts w:ascii="Microsoft YaHei" w:eastAsia="Microsoft YaHei" w:hAnsi="Microsoft YaHei" w:cs="Microsoft YaHei"/>
          <w:color w:val="666666"/>
          <w:sz w:val="21"/>
          <w:szCs w:val="21"/>
        </w:rPr>
        <w:t>山西省太原市滨河东路（北段）78号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    编：</w:t>
      </w:r>
      <w:r>
        <w:rPr>
          <w:rFonts w:ascii="Microsoft YaHei" w:eastAsia="Microsoft YaHei" w:hAnsi="Microsoft YaHei" w:cs="Microsoft YaHei"/>
          <w:color w:val="666666"/>
          <w:sz w:val="21"/>
          <w:szCs w:val="21"/>
        </w:rPr>
        <w:t>030009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二、学历证书：</w:t>
      </w:r>
      <w:r>
        <w:rPr>
          <w:rFonts w:ascii="Microsoft YaHei" w:eastAsia="Microsoft YaHei" w:hAnsi="Microsoft YaHei" w:cs="Microsoft YaHei"/>
          <w:color w:val="666666"/>
          <w:sz w:val="21"/>
          <w:szCs w:val="21"/>
        </w:rPr>
        <w:t>颁发山西林业职业技术学院专科（高职）毕业证书。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高等职业教育发展新形势和宏观政策新要求，结合区域产业结构调整和行业社会发展需求，充分考虑办学定位、办学条件、人才培养质量和就业情况等因素，合理制定2020年招生计划总规模，统筹安排各类招生计划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2、招生计划分配办法：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学院分省计划主要根据社会需求及历年招生录取报到情况，重点在山西及周边省份投放计划。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学院分专业计划根据行业人才要求、教学资源和师资力量，结合各专业历年招生报到、就业情况，制定分类别、分专业招生计划，经审核批准后，向社会公布。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（一）普通高考录取规则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1、学院招生录取工作严格执行教育部及各省市（区）招生政策。依据各省、市、自治区划定的高职分数线，按志愿从高分到低分择优录取。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安排依据考生专业志愿优先顺序进行录取，当考生成绩无法满足考生所填报的专业志愿时，如果考生服从专业调剂，根据考生的文化课成绩从高分到低分调剂到招生计划尚未完成的专业，直至录满。对于总分相同的考生，按单科成绩依次从高到低录取，单科成绩排序顺序：文史类(语文、数学、文科综合)；理工类(数学、语文、理科综合)。对于按以上原则无法满足专业志愿且不服从专业志愿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3、艺术类录取执行考生所在省艺术最低控制线，具体录取执行各省艺术类投档规定，按专业成绩从高到低录取；专业成绩相同，根据文化课成绩从高到低录取。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4、所有专业外语教学均为英语，建议小语种考生慎报。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5、体检标准按教育部和国家卫生和健康委员会下发的《普通高等学校招生体检工作指导意见》执行。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（二）对口升学录取规则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对口升学录取严格执行省招办有关对口招生录取的政策规定，根据考生志愿，按省招办划定的最低录取控制线从高到低录取。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三二分段录取规则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1、录取总分：考生总成绩（100分制）=专业理论考核成绩×40%+职业素质考核成绩×60%+政策加分。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2、职业素质考核成绩不满60分的考生不予录取。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3、在校期间有违法违纪行为或受到记过以上处分的，不得参加转段升学考核。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4、负责中职教育的学校将拟录取考生信息上报省招生考试管理中心，经省招生考试管理中心审核后，由山西林业职业技术学院发放录取通知书，办理相关录取手续。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五、专业设置及学费标准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严格执行山西省物价局、教育厅、财政厅批准的收费标准。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58"/>
        <w:gridCol w:w="5321"/>
        <w:gridCol w:w="2002"/>
        <w:gridCol w:w="1585"/>
        <w:gridCol w:w="2455"/>
        <w:gridCol w:w="1585"/>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林业技术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林业信息技术与管理</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林业技术(工程管理方向)</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森林生态旅游</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导游</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森林防火指挥与通讯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环境监测与控制技术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园艺技术（花卉方向）</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绿色食品生产与检验</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园艺技术（都市园艺方向）</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园林工程技术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建设工程监理（园林工程监理方向）</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景区开发与管理</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投资与理财</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计算机信息管理</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大数据技术应用</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智能产品开发</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文理艺</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包装策划与设计</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文理艺</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家具艺术设计</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文理艺</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文理艺</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产品艺术设计</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文理艺</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4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六、奖、助学金与助困措施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2、国家励志奖学金：奖学金5000元/年；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3、学院奖学金：奖学金4000元/年；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4、国家助学金：家庭经济困难学生助学金4000-2000元/年；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5、生源地助学贷款：学院学生可以办理生源地助学贷款，每生可以贷学费和住宿费最高不超过8000元/年；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6、学校为家庭经济困难学生提供校内勤工助学岗位，可以解决部分学习和生活费用。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学院严格执行国家高校贫困学生资助政策，根据学院学生管理制度中关于家庭经济困难学生的规定进行认定及资助。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联系电话：0351-3438306        传  真：0351-3439335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http://www.sxly.com.cn</w:t>
        </w:r>
      </w:hyperlink>
      <w:r>
        <w:rPr>
          <w:rFonts w:ascii="Microsoft YaHei" w:eastAsia="Microsoft YaHei" w:hAnsi="Microsoft YaHei" w:cs="Microsoft YaHei"/>
          <w:color w:val="666666"/>
          <w:sz w:val="21"/>
          <w:szCs w:val="21"/>
        </w:rPr>
        <w:t>邮  箱：sxlyzsb@163.com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年山西职业技术学院招生章程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ly.com.cn/" TargetMode="External" /><Relationship Id="rId5" Type="http://schemas.openxmlformats.org/officeDocument/2006/relationships/hyperlink" Target="http://www.gk114.com/a/gxzs/zszc/shanxi/2020/0703/17302.html" TargetMode="External" /><Relationship Id="rId6" Type="http://schemas.openxmlformats.org/officeDocument/2006/relationships/hyperlink" Target="http://www.gk114.com/a/gxzs/zszc/shanxi/2020/0703/17304.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