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山西财经大学华商学院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学校名称：山西财经大学华商学院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学校地址：山西省太原市坞城南路</w:t>
      </w:r>
      <w:r>
        <w:rPr>
          <w:rFonts w:ascii="Times New Roman" w:eastAsia="Times New Roman" w:hAnsi="Times New Roman" w:cs="Times New Roman"/>
        </w:rPr>
        <w:t>79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13608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录取通知书签发人姓名及职务：黄志建</w:t>
      </w:r>
      <w:r>
        <w:rPr>
          <w:rFonts w:ascii="Times New Roman" w:eastAsia="Times New Roman" w:hAnsi="Times New Roman" w:cs="Times New Roman"/>
        </w:rPr>
        <w:t>   </w:t>
      </w:r>
      <w:r>
        <w:rPr>
          <w:rFonts w:ascii="SimSun" w:eastAsia="SimSun" w:hAnsi="SimSun" w:cs="SimSun"/>
        </w:rPr>
        <w:t>山西财经大学华商学院院长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招生计划分配的原则和办法：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招生计划的分配按照学院的办学能力和社会对我院专业的需求进行分配，达到办学能力和社会需求专业相一致，合理制定招生计划。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年我院预留计划</w:t>
      </w:r>
      <w:r>
        <w:rPr>
          <w:rFonts w:ascii="Times New Roman" w:eastAsia="Times New Roman" w:hAnsi="Times New Roman" w:cs="Times New Roman"/>
        </w:rPr>
        <w:t>10</w:t>
      </w:r>
      <w:r>
        <w:rPr>
          <w:rFonts w:ascii="SimSun" w:eastAsia="SimSun" w:hAnsi="SimSun" w:cs="SimSun"/>
        </w:rPr>
        <w:t>人，用于录取平行志愿同分段考生。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、严格执行教育部和各省（市、自治区）高等学校招生委员会办公室的有关文件规定；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、投档比例执行教育部的有关文件；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、投档到我院的考生，按专业清的方式确定专业；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、投档到我院考生，按投档成绩进行录取并确定专业；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、对加分投档的考生按照教育部有关规定进行录取；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、专升本、对口升学学生的招生录取严格按照山西省招生考试管理中心规定的规则执行；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、社会体育指导与管理专业在专业测试成绩达到规定的最低线后按文化课成绩优先原则录取。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学院外语公共课只开设英语教学，建议非英语语种考生慎重报考。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执行教育部、卫生部和中国残疾人联合会《普通高等学校招生体检工作指导意见》文件。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招生计划及各专业学费标准：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招生计划见各省、自治区、直辖市招生办公布的计划；各专业学费标准严格按照山西省物价局批准的学费标准执行。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符合学院毕业要求的学生，均以山西财经大学华商学院名称颁发毕业证书。专升本学生毕业证书标明专科起点本科毕业，学制两年。其他证书内容按教育部相关规定填写。凡符合学院学士学位授予条件的学生，均以山西财经大学华商学院名称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学校实行</w:t>
      </w:r>
      <w:r>
        <w:rPr>
          <w:rFonts w:ascii="Times New Roman" w:eastAsia="Times New Roman" w:hAnsi="Times New Roman" w:cs="Times New Roman"/>
        </w:rPr>
        <w:t>“</w:t>
      </w:r>
      <w:r>
        <w:rPr>
          <w:rFonts w:ascii="SimSun" w:eastAsia="SimSun" w:hAnsi="SimSun" w:cs="SimSun"/>
        </w:rPr>
        <w:t>国家助学贷款、奖学金、勤工助学、助学金</w:t>
      </w:r>
      <w:r>
        <w:rPr>
          <w:rFonts w:ascii="Times New Roman" w:eastAsia="Times New Roman" w:hAnsi="Times New Roman" w:cs="Times New Roman"/>
        </w:rPr>
        <w:t>”</w:t>
      </w:r>
      <w:r>
        <w:rPr>
          <w:rFonts w:ascii="SimSun" w:eastAsia="SimSun" w:hAnsi="SimSun" w:cs="SimSun"/>
        </w:rPr>
        <w:t>等资助措施。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，保证经济困难的学生顺利入学，经济困难学生还可以在生源地申请国家助学贷款，或参加学校提供的勤工助学等工作岗位。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联系电话、网址及录取信息公布渠道：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(0351) 7654558   </w:t>
      </w:r>
      <w:r>
        <w:rPr>
          <w:rFonts w:ascii="SimSun" w:eastAsia="SimSun" w:hAnsi="SimSun" w:cs="SimSun"/>
        </w:rPr>
        <w:t>传真电话：</w:t>
      </w:r>
      <w:r>
        <w:rPr>
          <w:rFonts w:ascii="Times New Roman" w:eastAsia="Times New Roman" w:hAnsi="Times New Roman" w:cs="Times New Roman"/>
        </w:rPr>
        <w:t xml:space="preserve">(0351) 7654228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http://www.schsxy.com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新生一经录取将在学院一号教学楼电子屏和学院招生网页上公布。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太原科技大学华科学院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3.html" TargetMode="External" /><Relationship Id="rId5" Type="http://schemas.openxmlformats.org/officeDocument/2006/relationships/hyperlink" Target="http://www.gk114.com/a/gxzs/zszc/shanxi/2019/0619/1004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