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山西财经大学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我校依据《中华人民共和国教育法》《中华人民共和国高等教育法》和教育部有关规定制定本章程。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学校名称：</w:t>
      </w:r>
      <w:r>
        <w:rPr>
          <w:rFonts w:ascii="Microsoft YaHei" w:eastAsia="Microsoft YaHei" w:hAnsi="Microsoft YaHei" w:cs="Microsoft YaHei"/>
          <w:color w:val="333333"/>
        </w:rPr>
        <w:t>山西财经大学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学校地址：</w:t>
      </w:r>
      <w:r>
        <w:rPr>
          <w:rFonts w:ascii="Microsoft YaHei" w:eastAsia="Microsoft YaHei" w:hAnsi="Microsoft YaHei" w:cs="Microsoft YaHei"/>
          <w:color w:val="333333"/>
        </w:rPr>
        <w:t>太原市小店区坞城路140号  邮政编码：030006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太原市迎泽区南内环街135号 邮政编码：030012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办学层次：</w:t>
      </w:r>
      <w:r>
        <w:rPr>
          <w:rFonts w:ascii="Microsoft YaHei" w:eastAsia="Microsoft YaHei" w:hAnsi="Microsoft YaHei" w:cs="Microsoft YaHei"/>
          <w:color w:val="333333"/>
        </w:rPr>
        <w:t>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办学形式：</w:t>
      </w:r>
      <w:r>
        <w:rPr>
          <w:rFonts w:ascii="Microsoft YaHei" w:eastAsia="Microsoft YaHei" w:hAnsi="Microsoft YaHei" w:cs="Microsoft YaHei"/>
          <w:color w:val="333333"/>
        </w:rPr>
        <w:t>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办学性质：</w:t>
      </w:r>
      <w:r>
        <w:rPr>
          <w:rFonts w:ascii="Microsoft YaHei" w:eastAsia="Microsoft YaHei" w:hAnsi="Microsoft YaHei" w:cs="Microsoft YaHei"/>
          <w:color w:val="333333"/>
        </w:rPr>
        <w:t>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学校代码：</w:t>
      </w:r>
      <w:r>
        <w:rPr>
          <w:rFonts w:ascii="Microsoft YaHei" w:eastAsia="Microsoft YaHei" w:hAnsi="Microsoft YaHei" w:cs="Microsoft YaHei"/>
          <w:color w:val="333333"/>
        </w:rPr>
        <w:t>10125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录取通知书签发人姓名：</w:t>
      </w:r>
      <w:r>
        <w:rPr>
          <w:rFonts w:ascii="Microsoft YaHei" w:eastAsia="Microsoft YaHei" w:hAnsi="Microsoft YaHei" w:cs="Microsoft YaHei"/>
          <w:color w:val="333333"/>
        </w:rPr>
        <w:t>田祥宇    </w:t>
      </w:r>
      <w:r>
        <w:rPr>
          <w:rFonts w:ascii="Microsoft YaHei" w:eastAsia="Microsoft YaHei" w:hAnsi="Microsoft YaHei" w:cs="Microsoft YaHei"/>
          <w:b/>
          <w:bCs/>
          <w:color w:val="333333"/>
        </w:rPr>
        <w:t>职务：</w:t>
      </w:r>
      <w:r>
        <w:rPr>
          <w:rFonts w:ascii="Microsoft YaHei" w:eastAsia="Microsoft YaHei" w:hAnsi="Microsoft YaHei" w:cs="Microsoft YaHei"/>
          <w:color w:val="333333"/>
        </w:rPr>
        <w:t>校长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学校面向全国招生，根据国家经济社会发展对高素质人才的需求，着力促进区域、城乡入学机会公平，统筹考虑学校办学特色、办学条件、各省考生生源质量和毕业生就业率等因素，制定分省分专业招生计划。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二、预留计划数及使用原则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2023年我校预留计划不超过招生计划总数的1%，用于调节各地统考上线生源的不平衡，以及解决由于平行志愿产生的生源地上线同分段考生等问题。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三、专业培养对外语的要求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我校商务英语专业只招收英语语种考生，其他专业不限语种（非外语专业开设的公共外语课为大学英语，建议非英语语种考生慎重填报）。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执行《普通高等学校招生体检工作指导意见》有关规定。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1.严格执行教育部和各省、自治区、直辖市普通高等学校招生委员会办公室的有关文件规定。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2.认真贯彻公平、公正、公开，德、智、体、美、劳全面考核，综合评价的录取原则。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3.由省级招生部门按规定投档到我校的考生，按照高考成绩优先原则录取并确定专业。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内蒙古自治区按照“分数清”原则进行录取。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北京市、上海市、天津市、山东省、浙江省、海南省、河北省、辽宁省、江苏省、福建省、湖北省、湖南省、广东省、重庆市等综合高考改革省份考生须满足我校选考科目要求，录取时按照生源省规定进行录取。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4.按志愿投档到我校投档成绩整数位并列时，文史类专业依次根据语文、数学、文科综合成绩从高到低进行录取并确定专业，理工类专业依次根据数学、语文、理科综合成绩从高到低进行录取并确定专业。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视觉传达设计专业使用生源地省级美术专业统考成绩，执行生源地省份投档规则，对于进档考生在文化课成绩、专业成绩达到生源地省份规定的最低控制线后按专业成绩优先原则录取，专业成绩相同时，按照文化课成绩优先录取,文化课成绩仍相同时，依次按照数学、外语、语文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体育经济与管理专业进档考生，文化课成绩、专业成绩达到生源地省份规定的最低控制线，按文化课成绩优先原则录取。文化课成绩相同时，按照专业成绩优先原则录取，专业成绩仍相同时，依次按照数学、外语、语文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7.高水平运动队录取严格按照教育部、生源省招生部门和《山西财经大学2023年高水平运动队招生简章》有关规定执行。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8.对加分投档的考生按照教育部和各省、自治区、直辖市普通高等学校招生有关规定进行录取。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六、各专业学费标准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按照《山西省发展和改革委员会 山西省财政厅 山西省教育厅关于调整公办普通高校本科学费标准的通知》（晋发改收费发〔2018〕293号文件）批准的学费标准执行。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学生在学校规定学习年限内，修完教育教学计划规定内容，成绩合格，达到学校毕业要求的，学校准予毕业并颁发毕业证书；符合学位授予条件的，学校颁发学位证书。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中外合作办学颁发证书事宜见第九款。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学校实行“国家助学贷款、奖学金、勤工助学、助学金”等资助措施。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在新生入学报到时开通“绿色通道”，保证经济困难的学生顺利入学，经济困难学生可以在生源地申请国家助学贷款。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九、中外合作办学有关情况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与德国埃森经济管理应用技术大学（FOM）合作举办山西财经大学中德学院。学生完成学业，达到专业培养方案的要求，由山西财经大学颁发本科毕业证书（内芯注明“中德学院”）和学士学位证书（内芯注明“中德学院”），德国埃森经济管理应用技术大学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联系电话：(0351)7666571  7666563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联系传真：(0351)7666573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址：http://zhaosheng.sxufe.edu.cn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十一、录取结果公布渠道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新生一经录取即在我校本科招生网上公布。</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山西艺术职业学院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12.html" TargetMode="External" /><Relationship Id="rId11" Type="http://schemas.openxmlformats.org/officeDocument/2006/relationships/hyperlink" Target="http://www.gk114.com/a/gxzs/zszc/shanxi/2023/0521/27810.html" TargetMode="External" /><Relationship Id="rId12" Type="http://schemas.openxmlformats.org/officeDocument/2006/relationships/hyperlink" Target="http://www.gk114.com/a/gxzs/zszc/shanxi/2023/0521/27809.html" TargetMode="External" /><Relationship Id="rId13" Type="http://schemas.openxmlformats.org/officeDocument/2006/relationships/hyperlink" Target="http://www.gk114.com/a/gxzs/zszc/shanxi/2023/0521/27808.html" TargetMode="External" /><Relationship Id="rId14" Type="http://schemas.openxmlformats.org/officeDocument/2006/relationships/hyperlink" Target="http://www.gk114.com/a/gxzs/zszc/shanxi/2023/0521/27806.html" TargetMode="External" /><Relationship Id="rId15" Type="http://schemas.openxmlformats.org/officeDocument/2006/relationships/hyperlink" Target="http://www.gk114.com/a/gxzs/zszc/shanxi/2023/0521/27805.html" TargetMode="External" /><Relationship Id="rId16" Type="http://schemas.openxmlformats.org/officeDocument/2006/relationships/hyperlink" Target="http://www.gk114.com/a/gxzs/zszc/shanxi/2023/0521/27798.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19.html" TargetMode="External" /><Relationship Id="rId5" Type="http://schemas.openxmlformats.org/officeDocument/2006/relationships/hyperlink" Target="http://www.gk114.com/a/gxzs/zszc/shanxi/2023/0521/2782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816.html" TargetMode="External" /><Relationship Id="rId8" Type="http://schemas.openxmlformats.org/officeDocument/2006/relationships/hyperlink" Target="http://www.gk114.com/a/gxzs/zszc/shanxi/2023/0521/27815.html" TargetMode="External" /><Relationship Id="rId9" Type="http://schemas.openxmlformats.org/officeDocument/2006/relationships/hyperlink" Target="http://www.gk114.com/a/gxzs/zszc/shanxi/2023/0521/278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