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山西运城农业职业技术学院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为了进一步贯彻落实招生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，规范招生行为，维护考生合法权益，保证学院招生工作的顺利进行，依据《中华人民共和国教育法》、《中华人民共和国高等教育法》和教育部</w:t>
      </w:r>
      <w:r>
        <w:rPr>
          <w:rFonts w:ascii="Times New Roman" w:eastAsia="Times New Roman" w:hAnsi="Times New Roman" w:cs="Times New Roman"/>
        </w:rPr>
        <w:t>2019</w:t>
      </w:r>
      <w:r>
        <w:rPr>
          <w:rFonts w:ascii="SimSun" w:eastAsia="SimSun" w:hAnsi="SimSun" w:cs="SimSun"/>
        </w:rPr>
        <w:t>年普通高等学校招生工作规定以及我省有关要求，结合我院招生工作的实际情况，特制定本章程。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学校全称：山西运城农业职业技术学院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13934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学校地址：山西省运城市红旗东街</w:t>
      </w:r>
      <w:r>
        <w:rPr>
          <w:rFonts w:ascii="Times New Roman" w:eastAsia="Times New Roman" w:hAnsi="Times New Roman" w:cs="Times New Roman"/>
        </w:rPr>
        <w:t>46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录取通知书签发人姓名及职务：张苏勤（院长）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招生计划分配的原则和办法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、根据我院发展情况制定招生计划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分配原则：以农业类专业为主，兼顾其他专业；以就业为导向，兼顾社会需求。对社会需求量大，就业前景好及我院优势专业多安排招生计划，如会计、畜牧兽医等专业。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分配办法：根据有关文件规定安排计划。按批复的计划进行分专业计划安排，按每班</w:t>
      </w:r>
      <w:r>
        <w:rPr>
          <w:rFonts w:ascii="Times New Roman" w:eastAsia="Times New Roman" w:hAnsi="Times New Roman" w:cs="Times New Roman"/>
        </w:rPr>
        <w:t>40</w:t>
      </w:r>
      <w:r>
        <w:rPr>
          <w:rFonts w:ascii="SimSun" w:eastAsia="SimSun" w:hAnsi="SimSun" w:cs="SimSun"/>
        </w:rPr>
        <w:t>人左右编制计划，参照近三年各专业学生报到情况，安排计划进行微调。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、分省区分专业招生人数：详见</w:t>
      </w:r>
      <w:r>
        <w:rPr>
          <w:rFonts w:ascii="Times New Roman" w:eastAsia="Times New Roman" w:hAnsi="Times New Roman" w:cs="Times New Roman"/>
        </w:rPr>
        <w:t>“2019</w:t>
      </w:r>
      <w:r>
        <w:rPr>
          <w:rFonts w:ascii="SimSun" w:eastAsia="SimSun" w:hAnsi="SimSun" w:cs="SimSun"/>
        </w:rPr>
        <w:t>年普通高校招生来源计划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外语语种要求：只提供英语教学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男女比例要求：不做比例规定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身体健康状况要求：按教育部、卫生和计划生育委员会、中国残疾人联合会颁布的《普通高等学校学生体检工作指导意见》并参照本校相关专业报考要求执行。入学后进行体检复查，发现高考体检弄虚作假的做退学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（一）普通高考录取规则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、严格执行教育部和各省、市、自治区招生管理部门招生录取工作的有关规定，按照</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的录取原则，以高考成绩为主要指标，德智体全面衡量择优选拔。</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、录取原则：根据本省招生考试管理中心划定的最低录取控制线，按照分数优先，遵循志愿顺序的原则录取。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、确定专业原则：对于进档考生，按分数优先原则从高分到低分确定专业。如遇分数相同，再按单科成绩依次从高到低排序，单科成绩排序的科目顺序是：文史类：</w:t>
      </w:r>
      <w:r>
        <w:rPr>
          <w:rFonts w:ascii="Times New Roman" w:eastAsia="Times New Roman" w:hAnsi="Times New Roman" w:cs="Times New Roman"/>
        </w:rPr>
        <w:t>1</w:t>
      </w:r>
      <w:r>
        <w:rPr>
          <w:rFonts w:ascii="SimSun" w:eastAsia="SimSun" w:hAnsi="SimSun" w:cs="SimSun"/>
        </w:rPr>
        <w:t>语文；</w:t>
      </w:r>
      <w:r>
        <w:rPr>
          <w:rFonts w:ascii="Times New Roman" w:eastAsia="Times New Roman" w:hAnsi="Times New Roman" w:cs="Times New Roman"/>
        </w:rPr>
        <w:t>2</w:t>
      </w:r>
      <w:r>
        <w:rPr>
          <w:rFonts w:ascii="SimSun" w:eastAsia="SimSun" w:hAnsi="SimSun" w:cs="SimSun"/>
        </w:rPr>
        <w:t>数学；</w:t>
      </w:r>
      <w:r>
        <w:rPr>
          <w:rFonts w:ascii="Times New Roman" w:eastAsia="Times New Roman" w:hAnsi="Times New Roman" w:cs="Times New Roman"/>
        </w:rPr>
        <w:t>3</w:t>
      </w:r>
      <w:r>
        <w:rPr>
          <w:rFonts w:ascii="SimSun" w:eastAsia="SimSun" w:hAnsi="SimSun" w:cs="SimSun"/>
        </w:rPr>
        <w:t>文科综合；理工类：</w:t>
      </w:r>
      <w:r>
        <w:rPr>
          <w:rFonts w:ascii="Times New Roman" w:eastAsia="Times New Roman" w:hAnsi="Times New Roman" w:cs="Times New Roman"/>
        </w:rPr>
        <w:t>1</w:t>
      </w:r>
      <w:r>
        <w:rPr>
          <w:rFonts w:ascii="SimSun" w:eastAsia="SimSun" w:hAnsi="SimSun" w:cs="SimSun"/>
        </w:rPr>
        <w:t>数学；</w:t>
      </w:r>
      <w:r>
        <w:rPr>
          <w:rFonts w:ascii="Times New Roman" w:eastAsia="Times New Roman" w:hAnsi="Times New Roman" w:cs="Times New Roman"/>
        </w:rPr>
        <w:t>2</w:t>
      </w:r>
      <w:r>
        <w:rPr>
          <w:rFonts w:ascii="SimSun" w:eastAsia="SimSun" w:hAnsi="SimSun" w:cs="SimSun"/>
        </w:rPr>
        <w:t>语文；</w:t>
      </w:r>
      <w:r>
        <w:rPr>
          <w:rFonts w:ascii="Times New Roman" w:eastAsia="Times New Roman" w:hAnsi="Times New Roman" w:cs="Times New Roman"/>
        </w:rPr>
        <w:t>3</w:t>
      </w:r>
      <w:r>
        <w:rPr>
          <w:rFonts w:ascii="SimSun" w:eastAsia="SimSun" w:hAnsi="SimSun" w:cs="SimSun"/>
        </w:rPr>
        <w:t>理科综合。当所有专业志愿都不能录取时，如考生服从专业调剂，可调剂到没有满额的专业；如不服从专业调剂，则予以退档。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、高考享受政策加分按各省（自治区、直辖市）教育行政机构或高考招生管理部门有关加分或降分投档的政策和办法执行。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（二）对口升学录取规则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、严格执行省教育厅下达的招生计划，坚持德智体全面考核、择优录取和公平、公正、公开、透明的原则。严格按照本年度</w:t>
      </w:r>
      <w:r>
        <w:rPr>
          <w:rFonts w:ascii="Times New Roman" w:eastAsia="Times New Roman" w:hAnsi="Times New Roman" w:cs="Times New Roman"/>
        </w:rPr>
        <w:t>“</w:t>
      </w:r>
      <w:r>
        <w:rPr>
          <w:rFonts w:ascii="SimSun" w:eastAsia="SimSun" w:hAnsi="SimSun" w:cs="SimSun"/>
        </w:rPr>
        <w:t>山西省对口升学招生录取工作实施意见</w:t>
      </w:r>
      <w:r>
        <w:rPr>
          <w:rFonts w:ascii="Times New Roman" w:eastAsia="Times New Roman" w:hAnsi="Times New Roman" w:cs="Times New Roman"/>
        </w:rPr>
        <w:t>”</w:t>
      </w:r>
      <w:r>
        <w:rPr>
          <w:rFonts w:ascii="SimSun" w:eastAsia="SimSun" w:hAnsi="SimSun" w:cs="SimSun"/>
        </w:rPr>
        <w:t>的相关规定进行招生录取。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、录取原则：根据本省招生考试管理中心划定的最低录取控制线，按照分数优先，遵循志愿顺序的原则录取。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、享受政策加分按省教育行政机构或招生管理部门有关加分或降分投档的政策和办法执行。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录取结果可由当地招生管理部门确定的方式向社会公布。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录取专业及收费标准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专业：设施农业与装备、园艺技术、农业经济管理、园林技术、畜牧兽医、饲料与动物营养、汽车检测与维修技术、汽车电子技术、食品营养与检测、移动互联应用技术、计算机应用技术、计算机系统与维护、互联网金融、会计、市场营销、电子商务、旅游管理、数字媒体艺术设计、光伏发电技术与应用、农产品加工与质量检测、生态农业技术、家政服务与管理、老年服务与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、收费标准严格按照省物价局批准的收费标准执行，</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每生</w:t>
      </w:r>
      <w:r>
        <w:rPr>
          <w:rFonts w:ascii="Times New Roman" w:eastAsia="Times New Roman" w:hAnsi="Times New Roman" w:cs="Times New Roman"/>
        </w:rPr>
        <w:t>.</w:t>
      </w:r>
      <w:r>
        <w:rPr>
          <w:rFonts w:ascii="SimSun" w:eastAsia="SimSun" w:hAnsi="SimSun" w:cs="SimSun"/>
        </w:rPr>
        <w:t>每学年。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奖、助、贷、勤等助学措施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年，按国家下达指标执行，特别优秀的学生可申请享受。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年，约</w:t>
      </w:r>
      <w:r>
        <w:rPr>
          <w:rFonts w:ascii="Times New Roman" w:eastAsia="Times New Roman" w:hAnsi="Times New Roman" w:cs="Times New Roman"/>
        </w:rPr>
        <w:t>3%</w:t>
      </w:r>
      <w:r>
        <w:rPr>
          <w:rFonts w:ascii="SimSun" w:eastAsia="SimSun" w:hAnsi="SimSun" w:cs="SimSun"/>
        </w:rPr>
        <w:t>的品学兼优家庭经济困难学生可申请享受。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、国家助学金：约</w:t>
      </w:r>
      <w:r>
        <w:rPr>
          <w:rFonts w:ascii="Times New Roman" w:eastAsia="Times New Roman" w:hAnsi="Times New Roman" w:cs="Times New Roman"/>
        </w:rPr>
        <w:t>22%</w:t>
      </w:r>
      <w:r>
        <w:rPr>
          <w:rFonts w:ascii="SimSun" w:eastAsia="SimSun" w:hAnsi="SimSun" w:cs="SimSun"/>
        </w:rPr>
        <w:t>的家庭经济困难优秀学生每学年可享受</w:t>
      </w:r>
      <w:r>
        <w:rPr>
          <w:rFonts w:ascii="Times New Roman" w:eastAsia="Times New Roman" w:hAnsi="Times New Roman" w:cs="Times New Roman"/>
        </w:rPr>
        <w:t>2000-4000</w:t>
      </w:r>
      <w:r>
        <w:rPr>
          <w:rFonts w:ascii="SimSun" w:eastAsia="SimSun" w:hAnsi="SimSun" w:cs="SimSun"/>
        </w:rPr>
        <w:t>元的国家助学金。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、生源地助学贷款：家庭经济困难的学生可办理生源地助学贷款，每生每年可贷学费和公寓费共计</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、学院每年划拨专项经费，设立勤工助学岗位，对家庭经济困难学生进行资助。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奖、助、贷、勤等助学措施，严格按照国家、省市相关部门规定及要求的程序办理。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毕业证书：学生在学校规定学习年限内，修完教育教学计划规定内容，成绩合格，达到学校毕业要求的，准予毕业，并在学生离校前颁发</w:t>
      </w:r>
      <w:r>
        <w:rPr>
          <w:rFonts w:ascii="Times New Roman" w:eastAsia="Times New Roman" w:hAnsi="Times New Roman" w:cs="Times New Roman"/>
        </w:rPr>
        <w:t>“</w:t>
      </w:r>
      <w:r>
        <w:rPr>
          <w:rFonts w:ascii="SimSun" w:eastAsia="SimSun" w:hAnsi="SimSun" w:cs="SimSun"/>
        </w:rPr>
        <w:t>山西运城农业职业技术学院</w:t>
      </w:r>
      <w:r>
        <w:rPr>
          <w:rFonts w:ascii="Times New Roman" w:eastAsia="Times New Roman" w:hAnsi="Times New Roman" w:cs="Times New Roman"/>
        </w:rPr>
        <w:t>”</w:t>
      </w:r>
      <w:r>
        <w:rPr>
          <w:rFonts w:ascii="SimSun" w:eastAsia="SimSun" w:hAnsi="SimSun" w:cs="SimSun"/>
        </w:rPr>
        <w:t>（高职）毕业证书。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0359-2084571</w:t>
      </w:r>
      <w:r>
        <w:rPr>
          <w:rFonts w:ascii="SimSun" w:eastAsia="SimSun" w:hAnsi="SimSun" w:cs="SimSun"/>
        </w:rPr>
        <w:t>、</w:t>
      </w:r>
      <w:r>
        <w:rPr>
          <w:rFonts w:ascii="Times New Roman" w:eastAsia="Times New Roman" w:hAnsi="Times New Roman" w:cs="Times New Roman"/>
        </w:rPr>
        <w:t>2084503</w:t>
      </w:r>
      <w:r>
        <w:rPr>
          <w:rFonts w:ascii="SimSun" w:eastAsia="SimSun" w:hAnsi="SimSun" w:cs="SimSun"/>
        </w:rPr>
        <w:t>（传真）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044000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通讯地址：山西省运城市红旗东街</w:t>
      </w:r>
      <w:r>
        <w:rPr>
          <w:rFonts w:ascii="Times New Roman" w:eastAsia="Times New Roman" w:hAnsi="Times New Roman" w:cs="Times New Roman"/>
        </w:rPr>
        <w:t>46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sycnxy@163.com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www.ycnxy.com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晋中职业技术学院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70.html" TargetMode="External" /><Relationship Id="rId12" Type="http://schemas.openxmlformats.org/officeDocument/2006/relationships/hyperlink" Target="http://www.gk114.com/a/gxzs/zszc/shanxi/2020/0703/17367.html" TargetMode="External" /><Relationship Id="rId13" Type="http://schemas.openxmlformats.org/officeDocument/2006/relationships/hyperlink" Target="http://www.gk114.com/a/gxzs/zszc/shanxi/2020/0703/17366.html" TargetMode="External" /><Relationship Id="rId14" Type="http://schemas.openxmlformats.org/officeDocument/2006/relationships/hyperlink" Target="http://www.gk114.com/a/gxzs/zszc/shanxi/2020/0703/17365.html" TargetMode="External" /><Relationship Id="rId15" Type="http://schemas.openxmlformats.org/officeDocument/2006/relationships/hyperlink" Target="http://www.gk114.com/a/gxzs/zszc/shanxi/2020/0703/17364.html" TargetMode="External" /><Relationship Id="rId16" Type="http://schemas.openxmlformats.org/officeDocument/2006/relationships/hyperlink" Target="http://www.gk114.com/a/gxzs/zszc/shanxi/2020/0703/17363.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36.html" TargetMode="External" /><Relationship Id="rId5" Type="http://schemas.openxmlformats.org/officeDocument/2006/relationships/hyperlink" Target="http://www.gk114.com/a/gxzs/zszc/shanxi/2019/0619/10038.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510/19598.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