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山西青年职业学院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为了保证山西青年职业学院</w:t>
      </w:r>
      <w:r>
        <w:rPr>
          <w:rFonts w:ascii="Times New Roman" w:eastAsia="Times New Roman" w:hAnsi="Times New Roman" w:cs="Times New Roman"/>
        </w:rPr>
        <w:t>2023</w:t>
      </w:r>
      <w:r>
        <w:rPr>
          <w:rFonts w:ascii="SimSun" w:eastAsia="SimSun" w:hAnsi="SimSun" w:cs="SimSun"/>
        </w:rPr>
        <w:t>年招生工作的顺利进行，维护学院和考生合法权益，根据《中华人民共和国教育法》、《中华人民共和国高等教育法》、《山西省教育厅关于核定</w:t>
      </w:r>
      <w:r>
        <w:rPr>
          <w:rFonts w:ascii="Times New Roman" w:eastAsia="Times New Roman" w:hAnsi="Times New Roman" w:cs="Times New Roman"/>
        </w:rPr>
        <w:t>2023</w:t>
      </w:r>
      <w:r>
        <w:rPr>
          <w:rFonts w:ascii="SimSun" w:eastAsia="SimSun" w:hAnsi="SimSun" w:cs="SimSun"/>
        </w:rPr>
        <w:t>年高等学校招生章程的通知》有关文件精神，结合山西青年职业学院招生工作的具体情况，制定本章程。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一、</w:t>
      </w:r>
      <w:r>
        <w:rPr>
          <w:rFonts w:ascii="SimSun" w:eastAsia="SimSun" w:hAnsi="SimSun" w:cs="SimSun"/>
          <w:b/>
          <w:bCs/>
        </w:rPr>
        <w:t>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全</w:t>
      </w:r>
      <w:r>
        <w:rPr>
          <w:rFonts w:ascii="Times New Roman" w:eastAsia="Times New Roman" w:hAnsi="Times New Roman" w:cs="Times New Roman"/>
        </w:rPr>
        <w:t xml:space="preserve">    </w:t>
      </w:r>
      <w:r>
        <w:rPr>
          <w:rFonts w:ascii="SimSun" w:eastAsia="SimSun" w:hAnsi="SimSun" w:cs="SimSun"/>
        </w:rPr>
        <w:t>称：山西青年职业学院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办学类型：高等职业学校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14336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学院性质：公办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办学地址：山西省太原市大昌南路</w:t>
      </w:r>
      <w:r>
        <w:rPr>
          <w:rFonts w:ascii="Times New Roman" w:eastAsia="Times New Roman" w:hAnsi="Times New Roman" w:cs="Times New Roman"/>
        </w:rPr>
        <w:t>17</w:t>
      </w:r>
      <w:r>
        <w:rPr>
          <w:rFonts w:ascii="SimSun" w:eastAsia="SimSun" w:hAnsi="SimSun" w:cs="SimSun"/>
        </w:rPr>
        <w:t>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二、</w:t>
      </w:r>
      <w:r>
        <w:rPr>
          <w:rFonts w:ascii="SimSun" w:eastAsia="SimSun" w:hAnsi="SimSun" w:cs="SimSun"/>
          <w:b/>
          <w:bCs/>
        </w:rPr>
        <w:t>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执行教育部统一印发的《普通高等院校招生体检工作指导意见》。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三、</w:t>
      </w:r>
      <w:r>
        <w:rPr>
          <w:rFonts w:ascii="SimSun" w:eastAsia="SimSun" w:hAnsi="SimSun" w:cs="SimSun"/>
          <w:b/>
          <w:bCs/>
        </w:rPr>
        <w:t>招生计划分配原则及办法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根据近年录取情况安排分类招生计划。同时，我们对近三年新生数据进行分析，综合考虑报考生源数量、办学条件及毕业生就业状况，在录取过程中合理安排各专业招生计划。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四、</w:t>
      </w:r>
      <w:r>
        <w:rPr>
          <w:rFonts w:ascii="SimSun" w:eastAsia="SimSun" w:hAnsi="SimSun" w:cs="SimSun"/>
          <w:b/>
          <w:bCs/>
        </w:rPr>
        <w:t>录取规则及录取结果的公布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SimSun" w:eastAsia="SimSun" w:hAnsi="SimSun" w:cs="SimSun"/>
          <w:b/>
          <w:bCs/>
        </w:rPr>
        <w:t>录取规则</w:t>
      </w:r>
      <w:r>
        <w:rPr>
          <w:rFonts w:ascii="SimSun" w:eastAsia="SimSun" w:hAnsi="SimSun" w:cs="SimSun"/>
        </w:rPr>
        <w:t>：将根据教育部、各省（自治区、直辖市）招生管理部门有关文件精神，按照公平、公正、公开的原则，以高考成绩为主要指标，以德智体全面衡量的录取原则择优录取新生，具体如下：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b/>
          <w:bCs/>
        </w:rPr>
        <w:t>（</w:t>
      </w:r>
      <w:r>
        <w:rPr>
          <w:rFonts w:ascii="Times New Roman" w:eastAsia="Times New Roman" w:hAnsi="Times New Roman" w:cs="Times New Roman"/>
          <w:b/>
          <w:bCs/>
        </w:rPr>
        <w:t>1</w:t>
      </w:r>
      <w:r>
        <w:rPr>
          <w:rFonts w:ascii="SimSun" w:eastAsia="SimSun" w:hAnsi="SimSun" w:cs="SimSun"/>
          <w:b/>
          <w:bCs/>
        </w:rPr>
        <w:t>）文理科专业录取规则</w:t>
      </w:r>
      <w:r>
        <w:rPr>
          <w:rFonts w:ascii="SimSun" w:eastAsia="SimSun" w:hAnsi="SimSun" w:cs="SimSun"/>
        </w:rPr>
        <w:t>：进档考生专业安排以专业志愿优先为原则，按高分到低分顺序进行录取，根据计划数如考生分数未达到第一专业志愿录取分数，看是否达到第二专业志愿录取分数，依次类推，直至最后一个专业志愿。在考生所报专业志愿均未被录取情况下，对服从专业调剂者，可调到未录满专业；对不服从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b/>
          <w:bCs/>
        </w:rPr>
        <w:t>（</w:t>
      </w:r>
      <w:r>
        <w:rPr>
          <w:rFonts w:ascii="Times New Roman" w:eastAsia="Times New Roman" w:hAnsi="Times New Roman" w:cs="Times New Roman"/>
          <w:b/>
          <w:bCs/>
        </w:rPr>
        <w:t>2</w:t>
      </w:r>
      <w:r>
        <w:rPr>
          <w:rFonts w:ascii="SimSun" w:eastAsia="SimSun" w:hAnsi="SimSun" w:cs="SimSun"/>
          <w:b/>
          <w:bCs/>
        </w:rPr>
        <w:t>）</w:t>
      </w:r>
      <w:r>
        <w:rPr>
          <w:rFonts w:ascii="SimSun" w:eastAsia="SimSun" w:hAnsi="SimSun" w:cs="SimSun"/>
          <w:b/>
          <w:bCs/>
        </w:rPr>
        <w:t>艺术综合（</w:t>
      </w:r>
      <w:r>
        <w:rPr>
          <w:rFonts w:ascii="SimSun" w:eastAsia="SimSun" w:hAnsi="SimSun" w:cs="SimSun"/>
          <w:b/>
          <w:bCs/>
        </w:rPr>
        <w:t>美术类）专业录取规则：</w:t>
      </w:r>
      <w:r>
        <w:rPr>
          <w:rFonts w:ascii="SimSun" w:eastAsia="SimSun" w:hAnsi="SimSun" w:cs="SimSun"/>
        </w:rPr>
        <w:t>在考生美术专业统考成绩合格，并达到山西省文化课最低控制分数线的基础上，按专业统考成绩从高到低择优录取。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、无专业志愿分数级差的要求；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、外语语种：英语；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w:t>
      </w:r>
      <w:r>
        <w:rPr>
          <w:rFonts w:ascii="SimSun" w:eastAsia="SimSun" w:hAnsi="SimSun" w:cs="SimSun"/>
          <w:b/>
          <w:bCs/>
        </w:rPr>
        <w:t>录取结果公布：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）录取结果可到山西招生考试网（</w:t>
      </w:r>
      <w:r>
        <w:rPr>
          <w:rFonts w:ascii="Times New Roman" w:eastAsia="Times New Roman" w:hAnsi="Times New Roman" w:cs="Times New Roman"/>
        </w:rPr>
        <w:t>http://www.sxkszx.cn</w:t>
      </w:r>
      <w:r>
        <w:rPr>
          <w:rFonts w:ascii="SimSun" w:eastAsia="SimSun" w:hAnsi="SimSun" w:cs="SimSun"/>
        </w:rPr>
        <w:t>）查询，同时在我院的网站（</w:t>
      </w:r>
      <w:r>
        <w:rPr>
          <w:rFonts w:ascii="Times New Roman" w:eastAsia="Times New Roman" w:hAnsi="Times New Roman" w:cs="Times New Roman"/>
        </w:rPr>
        <w:t>http://www.sxqzy.cn</w:t>
      </w:r>
      <w:r>
        <w:rPr>
          <w:rFonts w:ascii="SimSun" w:eastAsia="SimSun" w:hAnsi="SimSun" w:cs="SimSun"/>
        </w:rPr>
        <w:t>）查询。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）已录取的考生由我院为考生寄发录取通知书；录取通知书签发人：李志权，职务院长。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五、凡被我院录取的学生，在规定学习年限内，修完教育教学计划规定内容，成绩合格，达到学校毕业要求的，颁发经国家教育部学信网注册的</w:t>
      </w:r>
      <w:r>
        <w:rPr>
          <w:rFonts w:ascii="Times New Roman" w:eastAsia="Times New Roman" w:hAnsi="Times New Roman" w:cs="Times New Roman"/>
        </w:rPr>
        <w:t>“</w:t>
      </w:r>
      <w:r>
        <w:rPr>
          <w:rFonts w:ascii="SimSun" w:eastAsia="SimSun" w:hAnsi="SimSun" w:cs="SimSun"/>
        </w:rPr>
        <w:t>山西青年职业学院</w:t>
      </w:r>
      <w:r>
        <w:rPr>
          <w:rFonts w:ascii="Times New Roman" w:eastAsia="Times New Roman" w:hAnsi="Times New Roman" w:cs="Times New Roman"/>
        </w:rPr>
        <w:t>”</w:t>
      </w:r>
      <w:r>
        <w:rPr>
          <w:rFonts w:ascii="SimSun" w:eastAsia="SimSun" w:hAnsi="SimSun" w:cs="SimSun"/>
        </w:rPr>
        <w:t>普通高等学校高职（专科）毕业证书。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b/>
          <w:bCs/>
        </w:rPr>
        <w:t>六、家庭经济困难学生资助政策及有关程序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所有资助项目按照《山西青年职业学院学生管理办法》中的各资助评审程序执行。</w:t>
      </w:r>
    </w:p>
    <w:tbl>
      <w:tblPr>
        <w:tblInd w:w="210" w:type="dxa"/>
        <w:tblCellMar>
          <w:top w:w="15" w:type="dxa"/>
          <w:left w:w="15" w:type="dxa"/>
          <w:bottom w:w="15" w:type="dxa"/>
          <w:right w:w="15" w:type="dxa"/>
        </w:tblCellMar>
      </w:tblPr>
      <w:tblGrid>
        <w:gridCol w:w="2400"/>
        <w:gridCol w:w="6960"/>
        <w:gridCol w:w="11040"/>
      </w:tblGrid>
      <w:tr>
        <w:tblPrEx>
          <w:tblInd w:w="210" w:type="dxa"/>
          <w:tblCellMar>
            <w:top w:w="15" w:type="dxa"/>
            <w:left w:w="15" w:type="dxa"/>
            <w:bottom w:w="15" w:type="dxa"/>
            <w:right w:w="15" w:type="dxa"/>
          </w:tblCellMar>
        </w:tblPrEx>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资助项目</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资助对象</w:t>
            </w:r>
          </w:p>
        </w:tc>
        <w:tc>
          <w:tcPr>
            <w:tcW w:w="5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资助标准</w:t>
            </w:r>
          </w:p>
        </w:tc>
      </w:tr>
      <w:tr>
        <w:tblPrEx>
          <w:tblInd w:w="210" w:type="dxa"/>
          <w:tblCellMar>
            <w:top w:w="15" w:type="dxa"/>
            <w:left w:w="15" w:type="dxa"/>
            <w:bottom w:w="15" w:type="dxa"/>
            <w:right w:w="15" w:type="dxa"/>
          </w:tblCellMar>
        </w:tblPrEx>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国家奖学金</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在校生中特别优秀的学生（二年级以上含二年级</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w:t>
            </w:r>
          </w:p>
        </w:tc>
        <w:tc>
          <w:tcPr>
            <w:tcW w:w="5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8000</w:t>
            </w:r>
            <w:r>
              <w:rPr>
                <w:rFonts w:ascii="SimSun" w:eastAsia="SimSun" w:hAnsi="SimSun" w:cs="SimSun"/>
                <w:b w:val="0"/>
                <w:bCs w:val="0"/>
                <w:i w:val="0"/>
                <w:iCs w:val="0"/>
                <w:smallCaps w:val="0"/>
                <w:color w:val="000000"/>
              </w:rPr>
              <w:t>元</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生</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学年</w:t>
            </w:r>
          </w:p>
        </w:tc>
      </w:tr>
      <w:tr>
        <w:tblPrEx>
          <w:tblInd w:w="210" w:type="dxa"/>
          <w:tblCellMar>
            <w:top w:w="15" w:type="dxa"/>
            <w:left w:w="15" w:type="dxa"/>
            <w:bottom w:w="15" w:type="dxa"/>
            <w:right w:w="15" w:type="dxa"/>
          </w:tblCellMar>
        </w:tblPrEx>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国家励志奖学金</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在校生中品学兼优的家庭经济困难学生（二年级以上含二年级</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w:t>
            </w:r>
          </w:p>
        </w:tc>
        <w:tc>
          <w:tcPr>
            <w:tcW w:w="5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5000</w:t>
            </w:r>
            <w:r>
              <w:rPr>
                <w:rFonts w:ascii="SimSun" w:eastAsia="SimSun" w:hAnsi="SimSun" w:cs="SimSun"/>
                <w:b w:val="0"/>
                <w:bCs w:val="0"/>
                <w:i w:val="0"/>
                <w:iCs w:val="0"/>
                <w:smallCaps w:val="0"/>
                <w:color w:val="000000"/>
              </w:rPr>
              <w:t>元</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生</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学年</w:t>
            </w:r>
          </w:p>
        </w:tc>
      </w:tr>
      <w:tr>
        <w:tblPrEx>
          <w:tblInd w:w="210" w:type="dxa"/>
          <w:tblCellMar>
            <w:top w:w="15" w:type="dxa"/>
            <w:left w:w="15" w:type="dxa"/>
            <w:bottom w:w="15" w:type="dxa"/>
            <w:right w:w="15" w:type="dxa"/>
          </w:tblCellMar>
        </w:tblPrEx>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国家助学金</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在校生中家庭经济困难学生。</w:t>
            </w:r>
          </w:p>
        </w:tc>
        <w:tc>
          <w:tcPr>
            <w:tcW w:w="5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特殊困难：</w:t>
            </w:r>
            <w:r>
              <w:rPr>
                <w:rFonts w:ascii="Times New Roman" w:eastAsia="Times New Roman" w:hAnsi="Times New Roman" w:cs="Times New Roman"/>
                <w:b w:val="0"/>
                <w:bCs w:val="0"/>
                <w:i w:val="0"/>
                <w:iCs w:val="0"/>
                <w:smallCaps w:val="0"/>
                <w:color w:val="000000"/>
              </w:rPr>
              <w:t>4000</w:t>
            </w:r>
            <w:r>
              <w:rPr>
                <w:rFonts w:ascii="SimSun" w:eastAsia="SimSun" w:hAnsi="SimSun" w:cs="SimSun"/>
                <w:b w:val="0"/>
                <w:bCs w:val="0"/>
                <w:i w:val="0"/>
                <w:iCs w:val="0"/>
                <w:smallCaps w:val="0"/>
                <w:color w:val="000000"/>
              </w:rPr>
              <w:t>元</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生</w:t>
            </w:r>
            <w:r>
              <w:rPr>
                <w:rFonts w:ascii="Times New Roman" w:eastAsia="Times New Roman" w:hAnsi="Times New Roman" w:cs="Times New Roman"/>
                <w:b w:val="0"/>
                <w:bCs w:val="0"/>
                <w:i w:val="0"/>
                <w:iCs w:val="0"/>
                <w:smallCaps w:val="0"/>
                <w:color w:val="000000"/>
              </w:rPr>
              <w:t>&amp;middot;</w:t>
            </w:r>
            <w:r>
              <w:rPr>
                <w:rFonts w:ascii="SimSun" w:eastAsia="SimSun" w:hAnsi="SimSun" w:cs="SimSun"/>
                <w:b w:val="0"/>
                <w:bCs w:val="0"/>
                <w:i w:val="0"/>
                <w:iCs w:val="0"/>
                <w:smallCaps w:val="0"/>
                <w:color w:val="000000"/>
              </w:rPr>
              <w:t>学年</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困</w:t>
            </w:r>
            <w:r>
              <w:rPr>
                <w:rFonts w:ascii="Times New Roman" w:eastAsia="Times New Roman" w:hAnsi="Times New Roman" w:cs="Times New Roman"/>
                <w:b w:val="0"/>
                <w:bCs w:val="0"/>
                <w:i w:val="0"/>
                <w:iCs w:val="0"/>
                <w:smallCaps w:val="0"/>
                <w:color w:val="000000"/>
              </w:rPr>
              <w:t>    </w:t>
            </w:r>
            <w:r>
              <w:rPr>
                <w:rFonts w:ascii="SimSun" w:eastAsia="SimSun" w:hAnsi="SimSun" w:cs="SimSun"/>
                <w:b w:val="0"/>
                <w:bCs w:val="0"/>
                <w:i w:val="0"/>
                <w:iCs w:val="0"/>
                <w:smallCaps w:val="0"/>
                <w:color w:val="000000"/>
              </w:rPr>
              <w:t>难：</w:t>
            </w:r>
            <w:r>
              <w:rPr>
                <w:rFonts w:ascii="Times New Roman" w:eastAsia="Times New Roman" w:hAnsi="Times New Roman" w:cs="Times New Roman"/>
                <w:b w:val="0"/>
                <w:bCs w:val="0"/>
                <w:i w:val="0"/>
                <w:iCs w:val="0"/>
                <w:smallCaps w:val="0"/>
                <w:color w:val="000000"/>
              </w:rPr>
              <w:t>3300</w:t>
            </w:r>
            <w:r>
              <w:rPr>
                <w:rFonts w:ascii="SimSun" w:eastAsia="SimSun" w:hAnsi="SimSun" w:cs="SimSun"/>
                <w:b w:val="0"/>
                <w:bCs w:val="0"/>
                <w:i w:val="0"/>
                <w:iCs w:val="0"/>
                <w:smallCaps w:val="0"/>
                <w:color w:val="000000"/>
              </w:rPr>
              <w:t>元</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生</w:t>
            </w:r>
            <w:r>
              <w:rPr>
                <w:rFonts w:ascii="Times New Roman" w:eastAsia="Times New Roman" w:hAnsi="Times New Roman" w:cs="Times New Roman"/>
                <w:b w:val="0"/>
                <w:bCs w:val="0"/>
                <w:i w:val="0"/>
                <w:iCs w:val="0"/>
                <w:smallCaps w:val="0"/>
                <w:color w:val="000000"/>
              </w:rPr>
              <w:t>&amp;middot;</w:t>
            </w:r>
            <w:r>
              <w:rPr>
                <w:rFonts w:ascii="SimSun" w:eastAsia="SimSun" w:hAnsi="SimSun" w:cs="SimSun"/>
                <w:b w:val="0"/>
                <w:bCs w:val="0"/>
                <w:i w:val="0"/>
                <w:iCs w:val="0"/>
                <w:smallCaps w:val="0"/>
                <w:color w:val="000000"/>
              </w:rPr>
              <w:t>学年</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一般困难：</w:t>
            </w:r>
            <w:r>
              <w:rPr>
                <w:rFonts w:ascii="Times New Roman" w:eastAsia="Times New Roman" w:hAnsi="Times New Roman" w:cs="Times New Roman"/>
                <w:b w:val="0"/>
                <w:bCs w:val="0"/>
                <w:i w:val="0"/>
                <w:iCs w:val="0"/>
                <w:smallCaps w:val="0"/>
                <w:color w:val="000000"/>
              </w:rPr>
              <w:t>2600</w:t>
            </w:r>
            <w:r>
              <w:rPr>
                <w:rFonts w:ascii="SimSun" w:eastAsia="SimSun" w:hAnsi="SimSun" w:cs="SimSun"/>
                <w:b w:val="0"/>
                <w:bCs w:val="0"/>
                <w:i w:val="0"/>
                <w:iCs w:val="0"/>
                <w:smallCaps w:val="0"/>
                <w:color w:val="000000"/>
              </w:rPr>
              <w:t>元</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生</w:t>
            </w:r>
            <w:r>
              <w:rPr>
                <w:rFonts w:ascii="Times New Roman" w:eastAsia="Times New Roman" w:hAnsi="Times New Roman" w:cs="Times New Roman"/>
                <w:b w:val="0"/>
                <w:bCs w:val="0"/>
                <w:i w:val="0"/>
                <w:iCs w:val="0"/>
                <w:smallCaps w:val="0"/>
                <w:color w:val="000000"/>
              </w:rPr>
              <w:t>&amp;middot;</w:t>
            </w:r>
            <w:r>
              <w:rPr>
                <w:rFonts w:ascii="SimSun" w:eastAsia="SimSun" w:hAnsi="SimSun" w:cs="SimSun"/>
                <w:b w:val="0"/>
                <w:bCs w:val="0"/>
                <w:i w:val="0"/>
                <w:iCs w:val="0"/>
                <w:smallCaps w:val="0"/>
                <w:color w:val="000000"/>
              </w:rPr>
              <w:t>学年</w:t>
            </w:r>
          </w:p>
        </w:tc>
      </w:tr>
      <w:tr>
        <w:tblPrEx>
          <w:tblInd w:w="210" w:type="dxa"/>
          <w:tblCellMar>
            <w:top w:w="15" w:type="dxa"/>
            <w:left w:w="15" w:type="dxa"/>
            <w:bottom w:w="15" w:type="dxa"/>
            <w:right w:w="15" w:type="dxa"/>
          </w:tblCellMar>
        </w:tblPrEx>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退役士兵教育资助</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对退役一年以上、考入我院的自主就业退役士兵。</w:t>
            </w:r>
          </w:p>
        </w:tc>
        <w:tc>
          <w:tcPr>
            <w:tcW w:w="5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一是学费资助；</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二所有退役士兵均可享受每学年</w:t>
            </w:r>
            <w:r>
              <w:rPr>
                <w:rFonts w:ascii="Times New Roman" w:eastAsia="Times New Roman" w:hAnsi="Times New Roman" w:cs="Times New Roman"/>
                <w:b w:val="0"/>
                <w:bCs w:val="0"/>
                <w:i w:val="0"/>
                <w:iCs w:val="0"/>
                <w:smallCaps w:val="0"/>
                <w:color w:val="000000"/>
              </w:rPr>
              <w:t>3300</w:t>
            </w:r>
            <w:r>
              <w:rPr>
                <w:rFonts w:ascii="SimSun" w:eastAsia="SimSun" w:hAnsi="SimSun" w:cs="SimSun"/>
                <w:b w:val="0"/>
                <w:bCs w:val="0"/>
                <w:i w:val="0"/>
                <w:iCs w:val="0"/>
                <w:smallCaps w:val="0"/>
                <w:color w:val="000000"/>
              </w:rPr>
              <w:t>退役士兵国家助学金。。</w:t>
            </w:r>
          </w:p>
        </w:tc>
      </w:tr>
      <w:tr>
        <w:tblPrEx>
          <w:tblInd w:w="210" w:type="dxa"/>
          <w:tblCellMar>
            <w:top w:w="15" w:type="dxa"/>
            <w:left w:w="15" w:type="dxa"/>
            <w:bottom w:w="15" w:type="dxa"/>
            <w:right w:w="15" w:type="dxa"/>
          </w:tblCellMar>
        </w:tblPrEx>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勤工助学</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学校设置校内勤工助学岗位，为学生提供勤工助学机会。</w:t>
            </w:r>
          </w:p>
        </w:tc>
        <w:tc>
          <w:tcPr>
            <w:tcW w:w="5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家庭经济困难学生优先考虑。学生参加勤工助学原则上每周不超过</w:t>
            </w:r>
            <w:r>
              <w:rPr>
                <w:rFonts w:ascii="Times New Roman" w:eastAsia="Times New Roman" w:hAnsi="Times New Roman" w:cs="Times New Roman"/>
                <w:b w:val="0"/>
                <w:bCs w:val="0"/>
                <w:i w:val="0"/>
                <w:iCs w:val="0"/>
                <w:smallCaps w:val="0"/>
                <w:color w:val="000000"/>
              </w:rPr>
              <w:t>8</w:t>
            </w:r>
            <w:r>
              <w:rPr>
                <w:rFonts w:ascii="SimSun" w:eastAsia="SimSun" w:hAnsi="SimSun" w:cs="SimSun"/>
                <w:b w:val="0"/>
                <w:bCs w:val="0"/>
                <w:i w:val="0"/>
                <w:iCs w:val="0"/>
                <w:smallCaps w:val="0"/>
                <w:color w:val="000000"/>
              </w:rPr>
              <w:t>小时，每月不超过</w:t>
            </w:r>
            <w:r>
              <w:rPr>
                <w:rFonts w:ascii="Times New Roman" w:eastAsia="Times New Roman" w:hAnsi="Times New Roman" w:cs="Times New Roman"/>
                <w:b w:val="0"/>
                <w:bCs w:val="0"/>
                <w:i w:val="0"/>
                <w:iCs w:val="0"/>
                <w:smallCaps w:val="0"/>
                <w:color w:val="000000"/>
              </w:rPr>
              <w:t>40</w:t>
            </w:r>
            <w:r>
              <w:rPr>
                <w:rFonts w:ascii="SimSun" w:eastAsia="SimSun" w:hAnsi="SimSun" w:cs="SimSun"/>
                <w:b w:val="0"/>
                <w:bCs w:val="0"/>
                <w:i w:val="0"/>
                <w:iCs w:val="0"/>
                <w:smallCaps w:val="0"/>
                <w:color w:val="000000"/>
              </w:rPr>
              <w:t>小时，劳动报酬原则上不低于太原市政府或有关部门制定的最低工资标准或居民最低生活保障标准。</w:t>
            </w:r>
          </w:p>
        </w:tc>
      </w:tr>
      <w:tr>
        <w:tblPrEx>
          <w:tblInd w:w="210" w:type="dxa"/>
          <w:tblCellMar>
            <w:top w:w="15" w:type="dxa"/>
            <w:left w:w="15" w:type="dxa"/>
            <w:bottom w:w="15" w:type="dxa"/>
            <w:right w:w="15" w:type="dxa"/>
          </w:tblCellMar>
        </w:tblPrEx>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绿色通道</w:t>
            </w:r>
          </w:p>
        </w:tc>
        <w:tc>
          <w:tcPr>
            <w:tcW w:w="853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学校设立</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绿色通道</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，对被录取入学、无法缴纳学费的家庭经济困难新生，先办理入学手续，然后再根据学生实际情况，分别采取不同办法予以资助。</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b/>
          <w:bCs/>
        </w:rPr>
        <w:t>七、收费标准：</w:t>
      </w:r>
      <w:r>
        <w:rPr>
          <w:rFonts w:ascii="SimSun" w:eastAsia="SimSun" w:hAnsi="SimSun" w:cs="SimSun"/>
        </w:rPr>
        <w:t>严格按照山西省发改委行政事业收费处批准的收费标准执行（附学费及住宿费收费标准）。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b/>
          <w:bCs/>
        </w:rPr>
        <w:t>八、其它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）新生应在规定时间办理入学手续，逾期未报到者，将视为自动放弃入学资格。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）新生入学后，将依据教育部有关文件规定进行新生资格审查和身体复查。凡属弄虚作假、徇私舞弊取得学籍者，一经查实，取消其学籍。身体复查不合格者，将按照学院《学生学籍管理办法》有关条例执行。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）学院原公布的有关招生工作的制度、规定如与本章程相冲突，以本章程为准。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）本章程由山西青年职业学院招生部门负责解释。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b/>
          <w:bCs/>
        </w:rPr>
        <w:t>九、咨询联系方式：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通讯地址：山西综合改革示范区太原市大昌南路</w:t>
      </w:r>
      <w:r>
        <w:rPr>
          <w:rFonts w:ascii="Times New Roman" w:eastAsia="Times New Roman" w:hAnsi="Times New Roman" w:cs="Times New Roman"/>
        </w:rPr>
        <w:t>17</w:t>
      </w:r>
      <w:r>
        <w:rPr>
          <w:rFonts w:ascii="SimSun" w:eastAsia="SimSun" w:hAnsi="SimSun" w:cs="SimSun"/>
        </w:rPr>
        <w:t>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030032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0351-8378417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0351-2029066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http://</w:t>
      </w:r>
      <w:hyperlink r:id="rId4" w:history="1">
        <w:r>
          <w:rPr>
            <w:rFonts w:ascii="Times New Roman" w:eastAsia="Times New Roman" w:hAnsi="Times New Roman" w:cs="Times New Roman"/>
            <w:color w:val="333333"/>
            <w:u w:val="single" w:color="333333"/>
          </w:rPr>
          <w:t>www.sxqzy.cn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Times New Roman" w:eastAsia="Times New Roman" w:hAnsi="Times New Roman" w:cs="Times New Roman"/>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Times New Roman" w:eastAsia="Times New Roman" w:hAnsi="Times New Roman" w:cs="Times New Roman"/>
        </w:rPr>
      </w:pPr>
      <w:r>
        <w:rPr>
          <w:rFonts w:ascii="SimSun" w:eastAsia="SimSun" w:hAnsi="SimSun" w:cs="SimSun"/>
        </w:rPr>
        <w:t>附：</w:t>
      </w:r>
    </w:p>
    <w:p>
      <w:pPr>
        <w:ind w:left="0" w:right="0"/>
        <w:rPr>
          <w:rFonts w:ascii="Times New Roman" w:eastAsia="Times New Roman" w:hAnsi="Times New Roman" w:cs="Times New Roman"/>
        </w:rPr>
      </w:pPr>
    </w:p>
    <w:tbl>
      <w:tblPr>
        <w:tblInd w:w="210" w:type="dxa"/>
        <w:tblCellMar>
          <w:top w:w="15" w:type="dxa"/>
          <w:left w:w="15" w:type="dxa"/>
          <w:bottom w:w="15" w:type="dxa"/>
          <w:right w:w="15" w:type="dxa"/>
        </w:tblCellMar>
      </w:tblPr>
      <w:tblGrid>
        <w:gridCol w:w="1055"/>
        <w:gridCol w:w="1532"/>
        <w:gridCol w:w="2371"/>
        <w:gridCol w:w="1127"/>
        <w:gridCol w:w="1289"/>
        <w:gridCol w:w="1055"/>
      </w:tblGrid>
      <w:tr>
        <w:tblPrEx>
          <w:tblInd w:w="210" w:type="dxa"/>
          <w:tblCellMar>
            <w:top w:w="15" w:type="dxa"/>
            <w:left w:w="15" w:type="dxa"/>
            <w:bottom w:w="15" w:type="dxa"/>
            <w:right w:w="15" w:type="dxa"/>
          </w:tblCellMar>
        </w:tblPrEx>
        <w:tc>
          <w:tcPr>
            <w:tcW w:w="9735" w:type="dxa"/>
            <w:gridSpan w:val="6"/>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山西青年职业学院</w:t>
            </w:r>
            <w:r>
              <w:rPr>
                <w:rFonts w:ascii="Times New Roman" w:eastAsia="Times New Roman" w:hAnsi="Times New Roman" w:cs="Times New Roman"/>
                <w:b/>
                <w:bCs/>
                <w:i w:val="0"/>
                <w:iCs w:val="0"/>
                <w:smallCaps w:val="0"/>
                <w:color w:val="000000"/>
              </w:rPr>
              <w:t>202</w:t>
            </w:r>
            <w:r>
              <w:rPr>
                <w:rFonts w:ascii="Times New Roman" w:eastAsia="Times New Roman" w:hAnsi="Times New Roman" w:cs="Times New Roman"/>
                <w:b/>
                <w:bCs/>
                <w:i w:val="0"/>
                <w:iCs w:val="0"/>
                <w:smallCaps w:val="0"/>
                <w:color w:val="000000"/>
              </w:rPr>
              <w:t>3</w:t>
            </w:r>
            <w:r>
              <w:rPr>
                <w:rFonts w:ascii="SimSun" w:eastAsia="SimSun" w:hAnsi="SimSun" w:cs="SimSun"/>
                <w:b/>
                <w:bCs/>
                <w:i w:val="0"/>
                <w:iCs w:val="0"/>
                <w:smallCaps w:val="0"/>
                <w:color w:val="000000"/>
              </w:rPr>
              <w:t>年招生专业学费及住宿费明细</w:t>
            </w:r>
          </w:p>
        </w:tc>
      </w:tr>
      <w:tr>
        <w:tblPrEx>
          <w:tblInd w:w="210" w:type="dxa"/>
          <w:tblCellMar>
            <w:top w:w="15" w:type="dxa"/>
            <w:left w:w="15" w:type="dxa"/>
            <w:bottom w:w="15" w:type="dxa"/>
            <w:right w:w="15" w:type="dxa"/>
          </w:tblCellMar>
        </w:tblPrEx>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序号</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专业代码</w:t>
            </w:r>
          </w:p>
        </w:tc>
        <w:tc>
          <w:tcPr>
            <w:tcW w:w="3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专业名称</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学费</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住宿费</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备注</w:t>
            </w:r>
          </w:p>
        </w:tc>
      </w:tr>
      <w:tr>
        <w:tblPrEx>
          <w:tblInd w:w="210" w:type="dxa"/>
          <w:tblCellMar>
            <w:top w:w="15" w:type="dxa"/>
            <w:left w:w="15" w:type="dxa"/>
            <w:bottom w:w="15" w:type="dxa"/>
            <w:right w:w="15" w:type="dxa"/>
          </w:tblCellMar>
        </w:tblPrEx>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510202</w:t>
            </w:r>
          </w:p>
        </w:tc>
        <w:tc>
          <w:tcPr>
            <w:tcW w:w="3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计算机网络技术</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5200</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Ind w:w="210" w:type="dxa"/>
          <w:tblCellMar>
            <w:top w:w="15" w:type="dxa"/>
            <w:left w:w="15" w:type="dxa"/>
            <w:bottom w:w="15" w:type="dxa"/>
            <w:right w:w="15" w:type="dxa"/>
          </w:tblCellMar>
        </w:tblPrEx>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510205</w:t>
            </w:r>
          </w:p>
        </w:tc>
        <w:tc>
          <w:tcPr>
            <w:tcW w:w="3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大数据技术</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5200</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Ind w:w="210" w:type="dxa"/>
          <w:tblCellMar>
            <w:top w:w="15" w:type="dxa"/>
            <w:left w:w="15" w:type="dxa"/>
            <w:bottom w:w="15" w:type="dxa"/>
            <w:right w:w="15" w:type="dxa"/>
          </w:tblCellMar>
        </w:tblPrEx>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530701</w:t>
            </w:r>
          </w:p>
        </w:tc>
        <w:tc>
          <w:tcPr>
            <w:tcW w:w="3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电子商务</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5200</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Ind w:w="210" w:type="dxa"/>
          <w:tblCellMar>
            <w:top w:w="15" w:type="dxa"/>
            <w:left w:w="15" w:type="dxa"/>
            <w:bottom w:w="15" w:type="dxa"/>
            <w:right w:w="15" w:type="dxa"/>
          </w:tblCellMar>
        </w:tblPrEx>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550114</w:t>
            </w:r>
          </w:p>
        </w:tc>
        <w:tc>
          <w:tcPr>
            <w:tcW w:w="3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室内艺术设计</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6000</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Ind w:w="210" w:type="dxa"/>
          <w:tblCellMar>
            <w:top w:w="15" w:type="dxa"/>
            <w:left w:w="15" w:type="dxa"/>
            <w:bottom w:w="15" w:type="dxa"/>
            <w:right w:w="15" w:type="dxa"/>
          </w:tblCellMar>
        </w:tblPrEx>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5</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530302</w:t>
            </w:r>
          </w:p>
        </w:tc>
        <w:tc>
          <w:tcPr>
            <w:tcW w:w="3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大数据与会计</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5200</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Ind w:w="210" w:type="dxa"/>
          <w:tblCellMar>
            <w:top w:w="15" w:type="dxa"/>
            <w:left w:w="15" w:type="dxa"/>
            <w:bottom w:w="15" w:type="dxa"/>
            <w:right w:w="15" w:type="dxa"/>
          </w:tblCellMar>
        </w:tblPrEx>
        <w:tc>
          <w:tcPr>
            <w:tcW w:w="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515A6E"/>
              </w:rPr>
            </w:pPr>
            <w:r>
              <w:rPr>
                <w:rFonts w:ascii="Microsoft YaHei" w:eastAsia="Microsoft YaHei" w:hAnsi="Microsoft YaHei" w:cs="Microsoft YaHei"/>
                <w:b w:val="0"/>
                <w:bCs w:val="0"/>
                <w:i w:val="0"/>
                <w:iCs w:val="0"/>
                <w:smallCaps w:val="0"/>
                <w:color w:val="515A6E"/>
              </w:rPr>
              <w:t>       6</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515A6E"/>
              </w:rPr>
            </w:pPr>
            <w:r>
              <w:rPr>
                <w:rFonts w:ascii="Microsoft YaHei" w:eastAsia="Microsoft YaHei" w:hAnsi="Microsoft YaHei" w:cs="Microsoft YaHei"/>
                <w:b w:val="0"/>
                <w:bCs w:val="0"/>
                <w:i w:val="0"/>
                <w:iCs w:val="0"/>
                <w:smallCaps w:val="0"/>
                <w:color w:val="515A6E"/>
              </w:rPr>
              <w:t>       520804</w:t>
            </w:r>
          </w:p>
        </w:tc>
        <w:tc>
          <w:tcPr>
            <w:tcW w:w="3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515A6E"/>
              </w:rPr>
            </w:pPr>
            <w:r>
              <w:rPr>
                <w:rFonts w:ascii="Microsoft YaHei" w:eastAsia="Microsoft YaHei" w:hAnsi="Microsoft YaHei" w:cs="Microsoft YaHei"/>
                <w:b w:val="0"/>
                <w:bCs w:val="0"/>
                <w:i w:val="0"/>
                <w:iCs w:val="0"/>
                <w:smallCaps w:val="0"/>
                <w:color w:val="515A6E"/>
              </w:rPr>
              <w:t>       心理咨询</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515A6E"/>
              </w:rPr>
            </w:pPr>
            <w:r>
              <w:rPr>
                <w:rFonts w:ascii="Microsoft YaHei" w:eastAsia="Microsoft YaHei" w:hAnsi="Microsoft YaHei" w:cs="Microsoft YaHei"/>
                <w:b w:val="0"/>
                <w:bCs w:val="0"/>
                <w:i w:val="0"/>
                <w:iCs w:val="0"/>
                <w:smallCaps w:val="0"/>
                <w:color w:val="515A6E"/>
              </w:rPr>
              <w:t>      5200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515A6E"/>
              </w:rPr>
            </w:pPr>
            <w:r>
              <w:rPr>
                <w:rFonts w:ascii="Microsoft YaHei" w:eastAsia="Microsoft YaHei" w:hAnsi="Microsoft YaHei" w:cs="Microsoft YaHei"/>
                <w:b w:val="0"/>
                <w:bCs w:val="0"/>
                <w:i w:val="0"/>
                <w:iCs w:val="0"/>
                <w:smallCaps w:val="0"/>
                <w:color w:val="515A6E"/>
              </w:rPr>
              <w:t>       600</w:t>
            </w:r>
          </w:p>
        </w:tc>
        <w:tc>
          <w:tcPr>
            <w:vAlign w:val="center"/>
            <w:hideMark/>
          </w:tcPr>
          <w:p>
            <w:pPr>
              <w:rPr>
                <w:rFonts w:ascii="Microsoft YaHei" w:eastAsia="Microsoft YaHei" w:hAnsi="Microsoft YaHei" w:cs="Microsoft YaHei"/>
                <w:b w:val="0"/>
                <w:bCs w:val="0"/>
                <w:i w:val="0"/>
                <w:iCs w:val="0"/>
                <w:smallCaps w:val="0"/>
                <w:color w:val="515A6E"/>
              </w:rPr>
            </w:pP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山西工程技术学院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山西通用航空职业技术学院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朔州陶瓷职业技术学院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年山西卫生健康职业学院招生章程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山西工程科技职业大学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山西能源学院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66.html" TargetMode="External" /><Relationship Id="rId11" Type="http://schemas.openxmlformats.org/officeDocument/2006/relationships/hyperlink" Target="http://www.gk114.com/a/gxzs/zszc/shanxi/2023/0521/27763.html" TargetMode="External" /><Relationship Id="rId12" Type="http://schemas.openxmlformats.org/officeDocument/2006/relationships/hyperlink" Target="http://www.gk114.com/a/gxzs/zszc/shanxi/2023/0521/27761.html" TargetMode="External" /><Relationship Id="rId13" Type="http://schemas.openxmlformats.org/officeDocument/2006/relationships/hyperlink" Target="http://www.gk114.com/a/gxzs/zszc/shanxi/2023/0521/27759.html" TargetMode="External" /><Relationship Id="rId14" Type="http://schemas.openxmlformats.org/officeDocument/2006/relationships/hyperlink" Target="http://www.gk114.com/a/gxzs/zszc/shanxi/2023/0521/27758.html" TargetMode="External" /><Relationship Id="rId15" Type="http://schemas.openxmlformats.org/officeDocument/2006/relationships/hyperlink" Target="http://www.gk114.com/a/gxzs/zszc/shanxi/2023/0521/27757.html" TargetMode="External" /><Relationship Id="rId16" Type="http://schemas.openxmlformats.org/officeDocument/2006/relationships/hyperlink" Target="http://www.gk114.com/a/gxzs/zszc/shanxi/2023/0521/27756.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qzy.cn/" TargetMode="External" /><Relationship Id="rId5" Type="http://schemas.openxmlformats.org/officeDocument/2006/relationships/hyperlink" Target="http://www.gk114.com/a/gxzs/zszc/shanxi/2023/0521/27771.html" TargetMode="External" /><Relationship Id="rId6" Type="http://schemas.openxmlformats.org/officeDocument/2006/relationships/hyperlink" Target="http://www.gk114.com/a/gxzs/zszc/shanxi/2023/0521/27773.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70.html" TargetMode="External" /><Relationship Id="rId9" Type="http://schemas.openxmlformats.org/officeDocument/2006/relationships/hyperlink" Target="http://www.gk114.com/a/gxzs/zszc/shanxi/2023/0521/2776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