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巢湖学院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一、学校全称：巢湖学院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三、办学类型：公办普通本科高校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四、办学地址：安徽省合肥巢湖经济开发区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依照教育部和省教育厅最新颁布的当年有关招生文件精神，本着公平、公正、公开的原则，择优录取。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报考我校本科各专业限招英语语种考生。视觉传达设计（中外合作）专业进校后以韩语为第一外语安排教学。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录取专业时，按照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分数优先，遵循专业志愿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第一专业志愿无法满足的，依次按所填专业志愿顺序进行录取。所报专业志愿均不能满足，如果服从专业调剂，将根据具体情况调剂到相应专业；考生成绩无法满足所填报的专业志愿，又不服从调剂的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报考英语类专业的考生，一般要求高考英语单科成绩不低于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SimSun" w:eastAsia="SimSun" w:hAnsi="SimSun" w:cs="SimSun"/>
        </w:rPr>
        <w:t>分，必须参加口试，口试成绩须达到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分以上（含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分）；考生总分达我校最低录取线以上，根据其英语单科成绩从高分到低分依次录取。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各专业体检标准执行教育部颁发的《普通高等学校招生体检工作指导意见》的有关规定。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报考我校艺体类专业，以平行志愿方式进行投档的，按投档成绩高低择优录取；非平行志愿方式进行投档的，以专业统考成绩高低择优录取（如专业成绩相同，按照文化课总分、综合、语文、数学、外语优先次序选择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中外合作培养专业：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酒店管理专业。经教育部批准，我校与爱尔兰阿斯隆理工学院合作举办酒店管理专业本科教育项目，该项目前三年在巢湖学院学习，经考核合格后，第四年赴爱尔兰阿斯隆理工学院学习。学生按规定完成学业，成绩合格，由双方院校分别发给毕业证书；符合双方学士学位授予条例的，由双方院校分别授予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）视觉传达设计专业。经安徽省教育厅批准，我校与韩国韩瑞大学联合培养视觉传达设计本科专业，采取</w:t>
      </w:r>
      <w:r>
        <w:rPr>
          <w:rFonts w:ascii="Times New Roman" w:eastAsia="Times New Roman" w:hAnsi="Times New Roman" w:cs="Times New Roman"/>
        </w:rPr>
        <w:t>2+2</w:t>
      </w:r>
      <w:r>
        <w:rPr>
          <w:rFonts w:ascii="SimSun" w:eastAsia="SimSun" w:hAnsi="SimSun" w:cs="SimSun"/>
        </w:rPr>
        <w:t>培养模式，即前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年在巢湖学院就读，经考核合格后，后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年在韩国韩瑞大学艺术学院就读。学生按规定完成学业，成绩合格，由双方院校分别发给毕业证书；符合双方学士学位授予条例的，由双方院校分别授予学士学位。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六、颁发学历证书的学校名称：巢湖学院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七、毕业证书种类：普通高等学校学历证书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八、学费标准：按照安徽省物价局、安徽省财政厅和安徽省教育厅核准的标准执行。收费标准如有变更，以安徽省物价部门核准的最新收费标准执行。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0551-82361098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82361303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　　址：安徽省合肥巢湖经济开发区（邮编：</w:t>
      </w:r>
      <w:r>
        <w:rPr>
          <w:rFonts w:ascii="Times New Roman" w:eastAsia="Times New Roman" w:hAnsi="Times New Roman" w:cs="Times New Roman"/>
        </w:rPr>
        <w:t>238000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http://www.chu.edu.cn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zsb@chu.edu.cn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0/0730/17606.html" TargetMode="External" /><Relationship Id="rId11" Type="http://schemas.openxmlformats.org/officeDocument/2006/relationships/hyperlink" Target="http://www.gk114.com/a/gxzs/zszc/anhui/2020/0611/16758.html" TargetMode="External" /><Relationship Id="rId12" Type="http://schemas.openxmlformats.org/officeDocument/2006/relationships/hyperlink" Target="http://www.gk114.com/a/gxzs/zszc/anhui/2019/0222/6672.html" TargetMode="External" /><Relationship Id="rId13" Type="http://schemas.openxmlformats.org/officeDocument/2006/relationships/hyperlink" Target="http://www.gk114.com/a/gxzs/zszc/anhui/2019/0222/6671.html" TargetMode="External" /><Relationship Id="rId14" Type="http://schemas.openxmlformats.org/officeDocument/2006/relationships/hyperlink" Target="http://www.gk114.com/a/gxzs/zszc/anhui/2019/0222/6670.html" TargetMode="External" /><Relationship Id="rId15" Type="http://schemas.openxmlformats.org/officeDocument/2006/relationships/hyperlink" Target="http://www.gk114.com/a/gxzs/zszc/anhui/2019/0222/6669.html" TargetMode="External" /><Relationship Id="rId16" Type="http://schemas.openxmlformats.org/officeDocument/2006/relationships/hyperlink" Target="http://www.gk114.com/a/gxzs/zszc/anhui/2019/0222/6668.html" TargetMode="External" /><Relationship Id="rId17" Type="http://schemas.openxmlformats.org/officeDocument/2006/relationships/hyperlink" Target="http://www.gk114.com/a/gxzs/zszc/anhui/2021/0605/19721.html" TargetMode="External" /><Relationship Id="rId18" Type="http://schemas.openxmlformats.org/officeDocument/2006/relationships/hyperlink" Target="http://www.gk114.com/a/gxzs/zszc/anhui/2021/0531/19677.html" TargetMode="External" /><Relationship Id="rId19" Type="http://schemas.openxmlformats.org/officeDocument/2006/relationships/hyperlink" Target="http://www.gk114.com/a/gxzs/zszc/anhui/2019/0222/664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35.html" TargetMode="External" /><Relationship Id="rId5" Type="http://schemas.openxmlformats.org/officeDocument/2006/relationships/hyperlink" Target="http://www.gk114.com/a/gxzs/zszc/anhui/2019/0222/6637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4/19928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