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巴音郭楞职业技术学院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一、学院全称：巴音郭楞职业技术学院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13094</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w:t>
      </w:r>
      <w:r>
        <w:rPr>
          <w:rFonts w:ascii="Times New Roman" w:eastAsia="Times New Roman" w:hAnsi="Times New Roman" w:cs="Times New Roman"/>
        </w:rPr>
        <w:t>       </w:t>
      </w:r>
      <w:r>
        <w:rPr>
          <w:rFonts w:ascii="SimSun" w:eastAsia="SimSun" w:hAnsi="SimSun" w:cs="SimSun"/>
        </w:rPr>
        <w:t>址：新疆库尔勒经济技术开发区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w:t>
      </w:r>
      <w:r>
        <w:rPr>
          <w:rFonts w:ascii="Times New Roman" w:eastAsia="Times New Roman" w:hAnsi="Times New Roman" w:cs="Times New Roman"/>
        </w:rPr>
        <w:t xml:space="preserve">  </w:t>
      </w:r>
      <w:r>
        <w:rPr>
          <w:rFonts w:ascii="SimSun" w:eastAsia="SimSun" w:hAnsi="SimSun" w:cs="SimSun"/>
        </w:rPr>
        <w:t>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w:t>
      </w:r>
      <w:r>
        <w:rPr>
          <w:rFonts w:ascii="Times New Roman" w:eastAsia="Times New Roman" w:hAnsi="Times New Roman" w:cs="Times New Roman"/>
        </w:rPr>
        <w:t>       </w:t>
      </w:r>
      <w:r>
        <w:rPr>
          <w:rFonts w:ascii="SimSun" w:eastAsia="SimSun" w:hAnsi="SimSun" w:cs="SimSun"/>
        </w:rPr>
        <w:t>制：三</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八、招生范围及招生计划：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继续面向全国部分省（自治区、直辖市）招生；招生计划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学院疆内高职招生代码：普通类：</w:t>
      </w:r>
      <w:r>
        <w:rPr>
          <w:rFonts w:ascii="Times New Roman" w:eastAsia="Times New Roman" w:hAnsi="Times New Roman" w:cs="Times New Roman"/>
        </w:rPr>
        <w:t>2468</w:t>
      </w:r>
      <w:r>
        <w:rPr>
          <w:rFonts w:ascii="SimSun" w:eastAsia="SimSun" w:hAnsi="SimSun" w:cs="SimSun"/>
        </w:rPr>
        <w:t>，单列类、双语类、民语言类：</w:t>
      </w:r>
      <w:r>
        <w:rPr>
          <w:rFonts w:ascii="Times New Roman" w:eastAsia="Times New Roman" w:hAnsi="Times New Roman" w:cs="Times New Roman"/>
        </w:rPr>
        <w:t>6468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学院设立招生工作委员会，全面负责巴音郭楞职业技术学院的招生工作。招生工作委员会制定招生政策、招生规模、招生计划，讨论决定招生重大事宜。招生工作委员会由学院院务会、相关部门负责人及教师、学生代表组成，充分发挥他们在民主管理和监督方面的作用。学院招生就业处是学院组织和实施招生工作的常设机构，负责学院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十、录取原则及入学方式：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严格按国家教育部及各省、市、自治区招生委员会、招办的规定录取，公开、公平、公正。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非平行志愿投档省、区、市：学校优先录取第一志愿考生，如第一志愿生源不足，可录取非第一志愿考生。进档考生，按照分数优先的原则，从高分到低分依次根据考生填报的专业志愿顺序录取。进档考生如所报志愿专业计划已满，同意调剂的考生由学院调剂到其他专业，不同意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类、单列类在平行志愿投档时，统考科目成绩总分相同时，则按单科顺序及分数从高到低排序，单科成绩的排列顺序为：理工类：理科数学、理科综合、语文、英语；文史类：文科语文、文科综合、文科数学、英语；三校生考生优先录取语文、数学、政治理论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双语类、民语言类考生在平行志愿投档时，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单独招生</w:t>
      </w:r>
      <w:r>
        <w:rPr>
          <w:rFonts w:ascii="Times New Roman" w:eastAsia="Times New Roman" w:hAnsi="Times New Roman" w:cs="Times New Roman"/>
        </w:rPr>
        <w:t>(</w:t>
      </w:r>
      <w:r>
        <w:rPr>
          <w:rFonts w:ascii="SimSun" w:eastAsia="SimSun" w:hAnsi="SimSun" w:cs="SimSun"/>
        </w:rPr>
        <w:t>大专</w:t>
      </w:r>
      <w:r>
        <w:rPr>
          <w:rFonts w:ascii="Times New Roman" w:eastAsia="Times New Roman" w:hAnsi="Times New Roman" w:cs="Times New Roman"/>
        </w:rPr>
        <w:t>)</w:t>
      </w:r>
      <w:r>
        <w:rPr>
          <w:rFonts w:ascii="SimSun" w:eastAsia="SimSun" w:hAnsi="SimSun" w:cs="SimSun"/>
        </w:rPr>
        <w:t>：单独招生的录取工作按照自治区相关规定及《巴音郭楞职业技术学院</w:t>
      </w:r>
      <w:r>
        <w:rPr>
          <w:rFonts w:ascii="Times New Roman" w:eastAsia="Times New Roman" w:hAnsi="Times New Roman" w:cs="Times New Roman"/>
        </w:rPr>
        <w:t>2020</w:t>
      </w:r>
      <w:r>
        <w:rPr>
          <w:rFonts w:ascii="SimSun" w:eastAsia="SimSun" w:hAnsi="SimSun" w:cs="SimSun"/>
        </w:rPr>
        <w:t>年单独招生工作实施方案》相关要求执行。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毕业生，需统一参加自治区教育考试院组织的</w:t>
      </w:r>
      <w:r>
        <w:rPr>
          <w:rFonts w:ascii="Times New Roman" w:eastAsia="Times New Roman" w:hAnsi="Times New Roman" w:cs="Times New Roman"/>
        </w:rPr>
        <w:t>“</w:t>
      </w:r>
      <w:r>
        <w:rPr>
          <w:rFonts w:ascii="SimSun" w:eastAsia="SimSun" w:hAnsi="SimSun" w:cs="SimSun"/>
        </w:rPr>
        <w:t>三校生升高职</w:t>
      </w:r>
      <w:r>
        <w:rPr>
          <w:rFonts w:ascii="Times New Roman" w:eastAsia="Times New Roman" w:hAnsi="Times New Roman" w:cs="Times New Roman"/>
        </w:rPr>
        <w:t>”</w:t>
      </w:r>
      <w:r>
        <w:rPr>
          <w:rFonts w:ascii="SimSun" w:eastAsia="SimSun" w:hAnsi="SimSun" w:cs="SimSun"/>
        </w:rPr>
        <w:t>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直升专</w:t>
      </w:r>
      <w:r>
        <w:rPr>
          <w:rFonts w:ascii="Times New Roman" w:eastAsia="Times New Roman" w:hAnsi="Times New Roman" w:cs="Times New Roman"/>
        </w:rPr>
        <w:t>”</w:t>
      </w:r>
      <w:r>
        <w:rPr>
          <w:rFonts w:ascii="SimSun" w:eastAsia="SimSun" w:hAnsi="SimSun" w:cs="SimSun"/>
        </w:rPr>
        <w:t>高职的优秀中专毕业生。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按照自治区教育厅教育考试院要求，学院继续组织</w:t>
      </w:r>
      <w:r>
        <w:rPr>
          <w:rFonts w:ascii="Times New Roman" w:eastAsia="Times New Roman" w:hAnsi="Times New Roman" w:cs="Times New Roman"/>
        </w:rPr>
        <w:t>2020</w:t>
      </w:r>
      <w:r>
        <w:rPr>
          <w:rFonts w:ascii="SimSun" w:eastAsia="SimSun" w:hAnsi="SimSun" w:cs="SimSun"/>
        </w:rPr>
        <w:t>年高职扩招工作。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我院所招收各专业均不限制男女生比例。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专业为艺术类专业，艺术类专业术科成绩按照自治区统一组织的艺考成绩合格为标准。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学院空中乘务专业招生要求：女身高</w:t>
      </w:r>
      <w:r>
        <w:rPr>
          <w:rFonts w:ascii="Times New Roman" w:eastAsia="Times New Roman" w:hAnsi="Times New Roman" w:cs="Times New Roman"/>
        </w:rPr>
        <w:t>162cm</w:t>
      </w:r>
      <w:r>
        <w:rPr>
          <w:rFonts w:ascii="SimSun" w:eastAsia="SimSun" w:hAnsi="SimSun" w:cs="SimSun"/>
        </w:rPr>
        <w:t>以上，男身高</w:t>
      </w:r>
      <w:r>
        <w:rPr>
          <w:rFonts w:ascii="Times New Roman" w:eastAsia="Times New Roman" w:hAnsi="Times New Roman" w:cs="Times New Roman"/>
        </w:rPr>
        <w:t>172cm</w:t>
      </w:r>
      <w:r>
        <w:rPr>
          <w:rFonts w:ascii="SimSun" w:eastAsia="SimSun" w:hAnsi="SimSun" w:cs="SimSun"/>
        </w:rPr>
        <w:t>以上，矫正视力</w:t>
      </w:r>
      <w:r>
        <w:rPr>
          <w:rFonts w:ascii="Times New Roman" w:eastAsia="Times New Roman" w:hAnsi="Times New Roman" w:cs="Times New Roman"/>
        </w:rPr>
        <w:t>0.8</w:t>
      </w:r>
      <w:r>
        <w:rPr>
          <w:rFonts w:ascii="SimSun" w:eastAsia="SimSun" w:hAnsi="SimSun" w:cs="SimSun"/>
        </w:rPr>
        <w:t>以上，无色盲、色弱、斜视，身体健康无疾病，五官端正、身体裸露部位无明显疤痕、纹身。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执行各省（市、区）主管部门规定有关加（降）分投档政策和原则。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我院高职录取时对单科成绩不做要求。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对已录取的新生我院通过学院网站向社会公布。考生亦可通过当地招生部门安排的公示渠道查询和了解录取结果。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新生入学后，学校在三个月内按照国家招生规定对其进行复查。复查合格者予以注册，取得学籍。复查不合格者，由学校区别情况，予以处理，直至取消入学资格。凡属弄虚作假、徇私舞弊取得学籍者，一经查实，学校应当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对患有疾病的新生，经学校指定的二级甲等以上医院（下同）诊断不宜在校学习的，可以保留入学资格一年。保留入学资格者不具有学籍。在保留入学资格期内经治疗康复，可以向学校申请入学，由学校指定医院诊断，符合体检要求，经学校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双语类考生入校后，学校将进行国语水平测试，测试达不到专业学习标准的学生将进行为期一年的预科学习，并由自治区财政统一承担预科一年的学费和住宿费。民语言类考生入校后，按要求直接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费：按照自治区物价部门核定的标准收费。高职学费标准为</w:t>
      </w:r>
      <w:r>
        <w:rPr>
          <w:rFonts w:ascii="Times New Roman" w:eastAsia="Times New Roman" w:hAnsi="Times New Roman" w:cs="Times New Roman"/>
        </w:rPr>
        <w:t>3000—3500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 xml:space="preserve"> 600-1000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以上收费标准如有变动，以自治区物价局的批复为准。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学生在学校规定学习年限内，修完教育教学计划规定内容，成绩合格，达到学校毕业要求的，学校应当准予毕业，并在学生离校前发给毕业证书。学院负责推荐就业，学生也可自主择业。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按有关规定，学校每年选拔</w:t>
      </w:r>
      <w:r>
        <w:rPr>
          <w:rFonts w:ascii="Times New Roman" w:eastAsia="Times New Roman" w:hAnsi="Times New Roman" w:cs="Times New Roman"/>
        </w:rPr>
        <w:t>10%</w:t>
      </w:r>
      <w:r>
        <w:rPr>
          <w:rFonts w:ascii="SimSun" w:eastAsia="SimSun" w:hAnsi="SimSun" w:cs="SimSun"/>
        </w:rPr>
        <w:t>的优秀毕业生经考试合格升入疆内普通本科院校相近的本科专业学校，具体事宜按照自治区教育厅相关文件执行。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十三、奖、助学及优惠政策：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照国家有关资助政策及学院管理规定家庭经济困难学生可享受相应奖、助学金资助。学院为家庭经济困难学生提供各类勤工助学岗位；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十四、招生工作实施阳光招生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调整学校招生委员会人员构成，增加教师、学生及校友代表，充分发挥他们在民主管理和监督方面的作用。通过聘请社会监督员巡视学校测试、录取现场等方式，对招生工作实施阳光招生。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十五、本章程适用于学校普通高职招生工作，由学院招生就业处负责解释。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新疆库尔勒市经济技术开发区乐悟路</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乘</w:t>
      </w:r>
      <w:r>
        <w:rPr>
          <w:rFonts w:ascii="Times New Roman" w:eastAsia="Times New Roman" w:hAnsi="Times New Roman" w:cs="Times New Roman"/>
        </w:rPr>
        <w:t>9</w:t>
      </w:r>
      <w:r>
        <w:rPr>
          <w:rFonts w:ascii="SimSun" w:eastAsia="SimSun" w:hAnsi="SimSun" w:cs="SimSun"/>
        </w:rPr>
        <w:t>路、</w:t>
      </w:r>
      <w:r>
        <w:rPr>
          <w:rFonts w:ascii="Times New Roman" w:eastAsia="Times New Roman" w:hAnsi="Times New Roman" w:cs="Times New Roman"/>
        </w:rPr>
        <w:t>50</w:t>
      </w:r>
      <w:r>
        <w:rPr>
          <w:rFonts w:ascii="SimSun" w:eastAsia="SimSun" w:hAnsi="SimSun" w:cs="SimSun"/>
        </w:rPr>
        <w:t>路公交车即到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0996—2206111</w:t>
      </w:r>
      <w:r>
        <w:rPr>
          <w:rFonts w:ascii="SimSun" w:eastAsia="SimSun" w:hAnsi="SimSun" w:cs="SimSun"/>
        </w:rPr>
        <w:t>（非预科）</w:t>
      </w:r>
      <w:r>
        <w:rPr>
          <w:rFonts w:ascii="Times New Roman" w:eastAsia="Times New Roman" w:hAnsi="Times New Roman" w:cs="Times New Roman"/>
        </w:rPr>
        <w:t xml:space="preserve">19999191287  19999191285  19999191289   18909960077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0996—2209111</w:t>
      </w:r>
      <w:r>
        <w:rPr>
          <w:rFonts w:ascii="SimSun" w:eastAsia="SimSun" w:hAnsi="SimSun" w:cs="SimSun"/>
        </w:rPr>
        <w:t>（预</w:t>
      </w:r>
      <w:r>
        <w:rPr>
          <w:rFonts w:ascii="Times New Roman" w:eastAsia="Times New Roman" w:hAnsi="Times New Roman" w:cs="Times New Roman"/>
        </w:rPr>
        <w:t xml:space="preserve">  </w:t>
      </w:r>
      <w:r>
        <w:rPr>
          <w:rFonts w:ascii="SimSun" w:eastAsia="SimSun" w:hAnsi="SimSun" w:cs="SimSun"/>
        </w:rPr>
        <w:t>科）</w:t>
      </w:r>
      <w:r>
        <w:rPr>
          <w:rFonts w:ascii="Times New Roman" w:eastAsia="Times New Roman" w:hAnsi="Times New Roman" w:cs="Times New Roman"/>
        </w:rPr>
        <w:t xml:space="preserve">19999191282  18196292299  18699659232    15276167990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http://www.xjbyxy.cn  </w:t>
      </w:r>
      <w:r>
        <w:rPr>
          <w:rFonts w:ascii="SimSun" w:eastAsia="SimSun" w:hAnsi="SimSun" w:cs="SimSun"/>
        </w:rPr>
        <w:t>传真：</w:t>
      </w:r>
      <w:r>
        <w:rPr>
          <w:rFonts w:ascii="Times New Roman" w:eastAsia="Times New Roman" w:hAnsi="Times New Roman" w:cs="Times New Roman"/>
        </w:rPr>
        <w:t xml:space="preserve">0996—2258688 </w:t>
      </w:r>
      <w:r>
        <w:rPr>
          <w:rFonts w:ascii="SimSun" w:eastAsia="SimSun" w:hAnsi="SimSun" w:cs="SimSun"/>
        </w:rPr>
        <w:t>邮编：</w:t>
      </w:r>
      <w:r>
        <w:rPr>
          <w:rFonts w:ascii="Times New Roman" w:eastAsia="Times New Roman" w:hAnsi="Times New Roman" w:cs="Times New Roman"/>
        </w:rPr>
        <w:t>841002   QQ</w:t>
      </w:r>
      <w:r>
        <w:rPr>
          <w:rFonts w:ascii="SimSun" w:eastAsia="SimSun" w:hAnsi="SimSun" w:cs="SimSun"/>
        </w:rPr>
        <w:t>：</w:t>
      </w:r>
      <w:r>
        <w:rPr>
          <w:rFonts w:ascii="Times New Roman" w:eastAsia="Times New Roman" w:hAnsi="Times New Roman" w:cs="Times New Roman"/>
        </w:rPr>
        <w:t xml:space="preserve">1150260077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9.html" TargetMode="External" /><Relationship Id="rId5" Type="http://schemas.openxmlformats.org/officeDocument/2006/relationships/hyperlink" Target="http://www.gk114.com/a/gxzs/zszc/xinjiang/2021/0224/1872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