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平凉职业技术学院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为进一步规范学院招生工作程序，依法治招，维护学院和考生的合法权益，保证招生工作的顺利进行，根据国家、省、市有关文件精神及招生考试工作相关文件要求，结合学院实际，制定本章程。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本章程是社会了解平凉职业技术学院有关招生政策、规定及相关信息的主要渠道，是学院开展招生咨询和录取工作的主要依据。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w:t>
      </w:r>
      <w:r>
        <w:rPr>
          <w:rFonts w:ascii="Times New Roman" w:eastAsia="Times New Roman" w:hAnsi="Times New Roman" w:cs="Times New Roman"/>
        </w:rPr>
        <w:t>“</w:t>
      </w:r>
      <w:r>
        <w:rPr>
          <w:rFonts w:ascii="SimSun" w:eastAsia="SimSun" w:hAnsi="SimSun" w:cs="SimSun"/>
        </w:rPr>
        <w:t>公平、公开、公正、透明</w:t>
      </w:r>
      <w:r>
        <w:rPr>
          <w:rFonts w:ascii="Times New Roman" w:eastAsia="Times New Roman" w:hAnsi="Times New Roman" w:cs="Times New Roman"/>
        </w:rPr>
        <w:t>”</w:t>
      </w:r>
      <w:r>
        <w:rPr>
          <w:rFonts w:ascii="SimSun" w:eastAsia="SimSun" w:hAnsi="SimSun" w:cs="SimSun"/>
        </w:rPr>
        <w:t>的原则，在纪检部门、招生委员会、新闻媒体、考生和家长及社会各界的监督下进行。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本章程仅适用于平凉职业技术学院高职招生工作。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学院名称：平凉职业技术学院，英文名称：</w:t>
      </w:r>
      <w:r>
        <w:rPr>
          <w:rFonts w:ascii="Times New Roman" w:eastAsia="Times New Roman" w:hAnsi="Times New Roman" w:cs="Times New Roman"/>
        </w:rPr>
        <w:t>“PingLiang Vocational &amp; Technical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培养层次：高职（专科）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隶属关系：平凉市人民政府主管，甘肃省教育厅业务指导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学院地址：甘肃省平凉市崆峒区泾河南路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教育部等有关部门规定，成立以学院院长为主任，分管招生工作的副院长为副主任，招生工作处、学生处、宣传统战处、纪检监察室及各系等相关部门负责人为成员的招生工作委员会，全面负责贯彻执行教育部和省教育厅、省招委员会的有关招生政策，负责审定招生章程、招生计划、确定招生政策和规则，研究决定招生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学院招生工作处是组织和实施招生工作的常设机构，负责招生的日常工作。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学院招生类型分为：五年一贯制转段录取、普通高中生综合评价录取、中职毕业生升学考试录取、普通高考录取（普通文史类、普通理工类）和高职扩招录取。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学院招生录取工作在省教育厅和省招委会的统一组织下进行，执行</w:t>
      </w:r>
      <w:r>
        <w:rPr>
          <w:rFonts w:ascii="Times New Roman" w:eastAsia="Times New Roman" w:hAnsi="Times New Roman" w:cs="Times New Roman"/>
        </w:rPr>
        <w:t>“</w:t>
      </w:r>
      <w:r>
        <w:rPr>
          <w:rFonts w:ascii="SimSun" w:eastAsia="SimSun" w:hAnsi="SimSun" w:cs="SimSun"/>
        </w:rPr>
        <w:t>院校负责，省教育考试院监督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学院招生计划通过省招生主管部门、学院招生简章、学院官方网站、学院微信公众平台等形式向社会公布。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国家教育部当年发布的《教育部关于做好普通高等学校招生工作的通知》和甘肃省教育厅当年发布的《关于做好普通高等学校招生工作的通知》等有关文件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学院对考生的体检要求按照教育部、卫生部、中国残疾人联合会印发的《普通高等学校招生体检工作指导意见》及有关补充规定执行。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学院严格执行教育部和省、市教育主管部门规定的全国性高考加分项目和地方性加分项目，认可考生具备的所有加分项目中最高一项加分。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普通高考录取（普通文史类、普通理工类）和中职毕业生升学考试录取按照甘肃省规定批次及办法进行。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普通高中生综合评价录取和五年一贯制转段考试录取按照甘肃省教育厅、甘肃省教育考试院和学院有关规定执行。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学院调阅考生档案的比例为</w:t>
      </w:r>
      <w:r>
        <w:rPr>
          <w:rFonts w:ascii="Times New Roman" w:eastAsia="Times New Roman" w:hAnsi="Times New Roman" w:cs="Times New Roman"/>
        </w:rPr>
        <w:t>100%</w:t>
      </w:r>
      <w:r>
        <w:rPr>
          <w:rFonts w:ascii="SimSun" w:eastAsia="SimSun" w:hAnsi="SimSun" w:cs="SimSun"/>
        </w:rPr>
        <w:t>，根据省招委会招生政策、投档方式、招生计划及生源情况的不同适当调整比例。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学院依据</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的原则，依照省招委会所公布的最低录取控制线及投档原则，遵循</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的投档方式，按实际投档情况进行录取，经首轮投档后仍未满足招生计划，则按重新征集志愿再投档，直到满足专业招生计划为止。征集志愿仍不足</w:t>
      </w:r>
      <w:r>
        <w:rPr>
          <w:rFonts w:ascii="Times New Roman" w:eastAsia="Times New Roman" w:hAnsi="Times New Roman" w:cs="Times New Roman"/>
        </w:rPr>
        <w:t>,</w:t>
      </w:r>
      <w:r>
        <w:rPr>
          <w:rFonts w:ascii="SimSun" w:eastAsia="SimSun" w:hAnsi="SimSun" w:cs="SimSun"/>
        </w:rPr>
        <w:t>则将剩余计划调剂到其他生源比较充足的热门专业完成招生计划。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过程中学院遵循分数优先原则，按分数由高分到低分，结合考生专业志愿，择优安排专业录取。对于进档考生的专业安排，采取分数优先的原则，同一专业志愿考生按高考成绩由高分到低分择优录取。第一专业志愿不能满足的考生，按其第二专业志愿安排专业，仍不满足则按其第三专业志愿安排专业，依次类推。同等条件下参考相关科目成绩，相关科目成绩比较顺序：文史类考生依次比较文综、语文、外语、数学；理工类考生依次比较理综、数学、外语、语文。若所有专业志愿均不能满足但服从调剂者，可录取到计划未满额的专业；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录取结果将在省招委会指定的网站上查询。学院统一邮寄录取通知书。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收费及奖助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按照省发展和改革委员会、省财政厅文件（甘发改收费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652</w:t>
      </w:r>
      <w:r>
        <w:rPr>
          <w:rFonts w:ascii="SimSun" w:eastAsia="SimSun" w:hAnsi="SimSun" w:cs="SimSun"/>
        </w:rPr>
        <w:t>号、</w:t>
      </w:r>
      <w:r>
        <w:rPr>
          <w:rFonts w:ascii="Times New Roman" w:eastAsia="Times New Roman" w:hAnsi="Times New Roman" w:cs="Times New Roman"/>
        </w:rPr>
        <w:t>1133</w:t>
      </w:r>
      <w:r>
        <w:rPr>
          <w:rFonts w:ascii="SimSun" w:eastAsia="SimSun" w:hAnsi="SimSun" w:cs="SimSun"/>
        </w:rPr>
        <w:t>号）执行，学费</w:t>
      </w:r>
      <w:r>
        <w:rPr>
          <w:rFonts w:ascii="Times New Roman" w:eastAsia="Times New Roman" w:hAnsi="Times New Roman" w:cs="Times New Roman"/>
        </w:rPr>
        <w:t>4000-4500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学年（各专业收费标准以学院的正式公布结果为准），住宿费</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学年。在新生入学时如有新的收费标准，则按照物价部门的最新批复为准。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奖助贷政策：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）国家奖学金：每学年对品学兼优的学生给予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5000-8000</w:t>
      </w:r>
      <w:r>
        <w:rPr>
          <w:rFonts w:ascii="SimSun" w:eastAsia="SimSun" w:hAnsi="SimSun" w:cs="SimSun"/>
        </w:rPr>
        <w:t>元的奖励。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）学院奖学金：每学年对品学兼优的学生给予</w:t>
      </w:r>
      <w:r>
        <w:rPr>
          <w:rFonts w:ascii="Times New Roman" w:eastAsia="Times New Roman" w:hAnsi="Times New Roman" w:cs="Times New Roman"/>
        </w:rPr>
        <w:t>1100-2200</w:t>
      </w:r>
      <w:r>
        <w:rPr>
          <w:rFonts w:ascii="SimSun" w:eastAsia="SimSun" w:hAnsi="SimSun" w:cs="SimSun"/>
        </w:rPr>
        <w:t>元的奖励。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）国家助学金：每学年对家庭经济困难的学生给予</w:t>
      </w:r>
      <w:r>
        <w:rPr>
          <w:rFonts w:ascii="Times New Roman" w:eastAsia="Times New Roman" w:hAnsi="Times New Roman" w:cs="Times New Roman"/>
        </w:rPr>
        <w:t>2300-4300</w:t>
      </w:r>
      <w:r>
        <w:rPr>
          <w:rFonts w:ascii="SimSun" w:eastAsia="SimSun" w:hAnsi="SimSun" w:cs="SimSun"/>
        </w:rPr>
        <w:t>元补助。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）学院助学金：每学年对家庭经济困难的学生给予</w:t>
      </w:r>
      <w:r>
        <w:rPr>
          <w:rFonts w:ascii="Times New Roman" w:eastAsia="Times New Roman" w:hAnsi="Times New Roman" w:cs="Times New Roman"/>
        </w:rPr>
        <w:t>2300</w:t>
      </w:r>
      <w:r>
        <w:rPr>
          <w:rFonts w:ascii="SimSun" w:eastAsia="SimSun" w:hAnsi="SimSun" w:cs="SimSun"/>
        </w:rPr>
        <w:t>元补助。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）特困学生生活补助：学院给予家庭经济困难学生特殊补助，每学年</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）对经济困难的学生，采取生源地助学贷款、勤工助学等形式给予资助。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入学及复审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国家招生规定录取的新生，持录取通知书在学院规定的期限报到并办理入学手续。因故不能按期入学者，应当向学院请假。未请假或者请假逾期者，除因不可抗力等正当事由以外，视为放弃入学资格。具体报到要求见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新生入学后，学院将在三个月内按照国家规定对其进行入学资格复查。复查合格者予以注册，取得学籍。复查不合格者，由学院区别情况予以处理，直至取消入学资格。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学院招生工作委员会、纪检监察部门全程参与监督招生工作。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学院以</w:t>
      </w:r>
      <w:r>
        <w:rPr>
          <w:rFonts w:ascii="Times New Roman" w:eastAsia="Times New Roman" w:hAnsi="Times New Roman" w:cs="Times New Roman"/>
        </w:rPr>
        <w:t>“</w:t>
      </w:r>
      <w:r>
        <w:rPr>
          <w:rFonts w:ascii="SimSun" w:eastAsia="SimSun" w:hAnsi="SimSun" w:cs="SimSun"/>
        </w:rPr>
        <w:t>公开报名条件，公开录取标准，公开录取结果</w:t>
      </w:r>
      <w:r>
        <w:rPr>
          <w:rFonts w:ascii="Times New Roman" w:eastAsia="Times New Roman" w:hAnsi="Times New Roman" w:cs="Times New Roman"/>
        </w:rPr>
        <w:t>”</w:t>
      </w:r>
      <w:r>
        <w:rPr>
          <w:rFonts w:ascii="SimSun" w:eastAsia="SimSun" w:hAnsi="SimSun" w:cs="SimSun"/>
        </w:rPr>
        <w:t>的方式，接受社会各界监督。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学院监督电话：（</w:t>
      </w:r>
      <w:r>
        <w:rPr>
          <w:rFonts w:ascii="Times New Roman" w:eastAsia="Times New Roman" w:hAnsi="Times New Roman" w:cs="Times New Roman"/>
        </w:rPr>
        <w:t>0933</w:t>
      </w:r>
      <w:r>
        <w:rPr>
          <w:rFonts w:ascii="SimSun" w:eastAsia="SimSun" w:hAnsi="SimSun" w:cs="SimSun"/>
        </w:rPr>
        <w:t>）</w:t>
      </w:r>
      <w:r>
        <w:rPr>
          <w:rFonts w:ascii="Times New Roman" w:eastAsia="Times New Roman" w:hAnsi="Times New Roman" w:cs="Times New Roman"/>
        </w:rPr>
        <w:t xml:space="preserve">8710323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计划形式：统招。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平凉职业技术学院不具备非英语语种开设条件，非英语语种的考生不得填报。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2021</w:t>
      </w:r>
      <w:r>
        <w:rPr>
          <w:rFonts w:ascii="SimSun" w:eastAsia="SimSun" w:hAnsi="SimSun" w:cs="SimSun"/>
        </w:rPr>
        <w:t>年招生专业（共</w:t>
      </w:r>
      <w:r>
        <w:rPr>
          <w:rFonts w:ascii="Times New Roman" w:eastAsia="Times New Roman" w:hAnsi="Times New Roman" w:cs="Times New Roman"/>
        </w:rPr>
        <w:t>31</w:t>
      </w:r>
      <w:r>
        <w:rPr>
          <w:rFonts w:ascii="SimSun" w:eastAsia="SimSun" w:hAnsi="SimSun" w:cs="SimSun"/>
        </w:rPr>
        <w:t>个）：学前教育、早期教育、护理、助产、中医康复技术、针灸推拿、旅游管理、歌舞表演、动漫制作技术、播音与主持、铁道交通运营管理、艺术设计、汽车检测与维修技术、城市轨道交通机电技术、电气自动化技术、计算机应用技术（大数据技术应用方向）、电子信息工程技术、工业机器人技术、无人机应用技术、建筑工程技术、工程造价、地下与隧道工程技术、道路与桥梁工程技术、大数据与会计、电子商务、网络营销与直播电商、畜牧兽医、应用化工技术、园艺技术、花卉生产与花艺、运动训练。分专业招生计划参见省教育厅和省招委会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学院简介、专业介绍等详细信息见</w:t>
      </w:r>
      <w:r>
        <w:rPr>
          <w:rFonts w:ascii="Times New Roman" w:eastAsia="Times New Roman" w:hAnsi="Times New Roman" w:cs="Times New Roman"/>
        </w:rPr>
        <w:t>2021</w:t>
      </w:r>
      <w:r>
        <w:rPr>
          <w:rFonts w:ascii="SimSun" w:eastAsia="SimSun" w:hAnsi="SimSun" w:cs="SimSun"/>
        </w:rPr>
        <w:t>年招生简章或通过学院官方网站、公众微信平台查询。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校录取的新生在第一学期末有一次申请转换专业的机会，具体细则按照《平凉职业技术学院转专业暂行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学院招生工作由招生工作处负责，校内其他单位组织的招生宣传须经招生工作处批准后方可实施。凡未经招生工作处批准，私自宣传导致的招生问题，后果由宣传单位自负。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本章程经学院招生委员会审查通过，报上级主管部门审核备案。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http://www.plvtc.cn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招生工作处：</w:t>
      </w:r>
      <w:r>
        <w:rPr>
          <w:rFonts w:ascii="Times New Roman" w:eastAsia="Times New Roman" w:hAnsi="Times New Roman" w:cs="Times New Roman"/>
        </w:rPr>
        <w:t xml:space="preserve">0933—8613056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0933—8616461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PLZYJSXY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地址：甘肃省平凉市崆峒区泾河南路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744099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本章程解释权属学院招生工作处。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第四十六条</w:t>
      </w:r>
      <w:r>
        <w:rPr>
          <w:rFonts w:ascii="Times New Roman" w:eastAsia="Times New Roman" w:hAnsi="Times New Roman" w:cs="Times New Roman"/>
        </w:rPr>
        <w:t xml:space="preserve"> </w:t>
      </w:r>
      <w:r>
        <w:rPr>
          <w:rFonts w:ascii="SimSun" w:eastAsia="SimSun" w:hAnsi="SimSun" w:cs="SimSun"/>
        </w:rPr>
        <w:t>本章程自批准签发之日起生效执行。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年甘肃财贸职业学院招生章程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培黎职业学院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1/19979.html" TargetMode="External" /><Relationship Id="rId5" Type="http://schemas.openxmlformats.org/officeDocument/2006/relationships/hyperlink" Target="http://www.gk114.com/a/gxzs/zszc/gansu/2021/0621/1998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