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广东科贸职业学院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教学函〔2013〕9号)的要求，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学校招生工作遵循“公平竞争、公正选拔、公开程序，德智体美劳全面考核、综合评价、择优录取”的原则，接受纪检监察部门、考生、家长以及社会各界的监督。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学校名称：广东科贸职业学院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学校国标代码：14063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w:t>
      </w:r>
      <w:r>
        <w:rPr>
          <w:rFonts w:ascii="Microsoft YaHei" w:eastAsia="Microsoft YaHei" w:hAnsi="Microsoft YaHei" w:cs="Microsoft YaHei"/>
          <w:color w:val="666666"/>
          <w:sz w:val="21"/>
          <w:szCs w:val="21"/>
        </w:rPr>
        <w:t>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石井校区：广州市白云区石庆路388号；邮政编码：510430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天河校区：广州市天河区科华街路273号；邮政编码：510640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清远校区:清远市清城区东城街道中宿路36号；邮政编码：511500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 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 办学性质：公办普通高等学校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  学校主管单位：广东省教育厅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毕（结）业颁证：按国家招生管理规定录取并取得本校正式学籍的学生，在校期间完成教学计划规定的理论和实践教学环节，成绩合格，获得规定的学分，达到毕（结）业要求者，颁发普通高等学校毕（结）业证书。颁发证书学校名称：广东科贸职业学院，证书种类：普通高等学校毕（结）业证书。退学学生，视具体情况发放肄业证书或开具写实性学习证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组织机构与职责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  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  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学校设立由学校领导和纪检监察部门组成的考试招生监察小组，对招生工作全过程实施监督。在录取期间成立信访组，安排专人负责考生和社会的信访、申诉、投诉处理工作。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学校录取批次为专科批次。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学校分专业招生计划及有关要求均以生源省（区、市）公布的专业目录为准。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学校与本科院校联合开展“三二分段专升本协同育人项目”。本校“三二分段专升本协同育人项目实验班”通过广东省夏季普通高考招收学生，与本校其他专业同批次录取，单独代码招生，单独编班。试点专业实验班学生按五年人才培养方案要求，完成三年高职学段学习，各项考核合格，并符合相关条件和要求的，获得学校普通高职（专科）毕业证书。通过转段选拔考核合格的实验班学生进入对接本科院校试点专业实验班学习两年，符合相关条件和要求的，可获得对应本科院校普通本科毕业证书和学位证书。非实验班学生，不得转入试点专业实验班学习。对应院校与专业见下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17"/>
        <w:gridCol w:w="3568"/>
        <w:gridCol w:w="4168"/>
        <w:gridCol w:w="5155"/>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试点高职专业名称</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本科高校名称</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对应本科试点</w:t>
            </w:r>
            <w:r>
              <w:rPr>
                <w:rFonts w:ascii="Microsoft YaHei" w:eastAsia="Microsoft YaHei" w:hAnsi="Microsoft YaHei" w:cs="Microsoft YaHei"/>
                <w:b/>
                <w:bCs/>
                <w:i w:val="0"/>
                <w:iCs w:val="0"/>
                <w:smallCaps w:val="0"/>
                <w:color w:val="666666"/>
                <w:sz w:val="21"/>
                <w:szCs w:val="21"/>
              </w:rPr>
              <w:br/>
            </w:r>
            <w:r>
              <w:rPr>
                <w:rFonts w:ascii="Microsoft YaHei" w:eastAsia="Microsoft YaHei" w:hAnsi="Microsoft YaHei" w:cs="Microsoft YaHei"/>
                <w:b/>
                <w:bCs/>
                <w:i w:val="0"/>
                <w:iCs w:val="0"/>
                <w:smallCaps w:val="0"/>
                <w:color w:val="666666"/>
                <w:sz w:val="21"/>
                <w:szCs w:val="21"/>
              </w:rPr>
              <w:t>专业名称</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畜牧兽医</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仲恺农业工程学院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动物科学</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药品生物技术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仲恺农业工程学院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生物技术</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仲恺农业工程学院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广州大学松田学院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广州大学松田学院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商务英语</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广州大学松田学院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r>
      <w:tr>
        <w:tblPrEx>
          <w:tblW w:w="14328" w:type="dxa"/>
          <w:tblInd w:w="135" w:type="dxa"/>
          <w:tblCellMar>
            <w:top w:w="15" w:type="dxa"/>
            <w:left w:w="15" w:type="dxa"/>
            <w:bottom w:w="15" w:type="dxa"/>
            <w:right w:w="15" w:type="dxa"/>
          </w:tblCellMar>
        </w:tblPrEx>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23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影视动画</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广州大学松田学院</w:t>
            </w:r>
          </w:p>
        </w:tc>
        <w:tc>
          <w:tcPr>
            <w:tcW w:w="34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遵循教育部规定的“学校负责、招办监督”的录取体制，严格遵守教育部、省（区、市）招生办公室的有关招生录取政策和规定，本着公开、公平、公正的原则，以考生高考成绩为基本依据，综合衡量德智体美劳，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在省（区、市）招生委员会划定的录取最低控制分数线上，在确保完成招生计划的前提下，按照文科类、理科类、美术类分类录取。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w:t>
      </w:r>
      <w:r>
        <w:rPr>
          <w:rFonts w:ascii="Microsoft YaHei" w:eastAsia="Microsoft YaHei" w:hAnsi="Microsoft YaHei" w:cs="Microsoft YaHei"/>
          <w:color w:val="666666"/>
          <w:sz w:val="21"/>
          <w:szCs w:val="21"/>
        </w:rPr>
        <w:t> 在广东省，报考本校普通专科层次普通类专业，文科类考生必须参加普通高中学业水平物理、化学、生物学3门科目的考试，理科类考生必须参加普通高中学业水平思想政治、历史、地理3门科目的考试，各门考试均须获得等级成绩；且报考专科院校普通类专业至少须有1门成绩达到C级及以上等级。具体要求以广东省当年招生录取工作文件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w:t>
      </w:r>
      <w:r>
        <w:rPr>
          <w:rFonts w:ascii="Microsoft YaHei" w:eastAsia="Microsoft YaHei" w:hAnsi="Microsoft YaHei" w:cs="Microsoft YaHei"/>
          <w:color w:val="666666"/>
          <w:sz w:val="21"/>
          <w:szCs w:val="21"/>
        </w:rPr>
        <w:t> 在广东省，报考本校普通专科层次美术类专业，参加高考文科类文化课考试的考生必须参加物理、化学、生物学3门科目普通高中学考，参加高考理科类文化课考试的考生必须参加思想政治、历史、地理3门科目的普通高中学考；且至少须有2门科目成绩达到D级及以上等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w:t>
      </w:r>
      <w:r>
        <w:rPr>
          <w:rFonts w:ascii="Microsoft YaHei" w:eastAsia="Microsoft YaHei" w:hAnsi="Microsoft YaHei" w:cs="Microsoft YaHei"/>
          <w:color w:val="666666"/>
          <w:sz w:val="21"/>
          <w:szCs w:val="21"/>
        </w:rPr>
        <w:t> 在实行平行志愿投档的省（区、市），本校可根据各省级招生办公室公布的平行志愿投档规则及生源情况确定招生计划微调方案和调档比例。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color w:val="666666"/>
          <w:sz w:val="21"/>
          <w:szCs w:val="21"/>
        </w:rPr>
        <w:t> 在思想政治品德考核和身体健康状况检查合格、统考成绩达到同批录取最低分数线，符合本校提档要求的情况下，依据考生成绩、专业志愿，以及本校录取原则择优录取。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文科类、理科类专业分档时，根据各省（区、市）投档规则出档后，实行“专业志愿优先”原则，根据考生填报专业志愿顺序，按考生投档总分排位情况从高到低排序录取。考生投档总分排位相同时，优先录取已修习相关专业基础知识（模块）的考生；在无排位或排位分的省（区、市）按照普通高考单科顺序及分数从高到低排序：文科类为语文、数学、外语、文科综合；理科类为数学、语文、外语、理科综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第二十四条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美术类统考专业分档时，根据各省（区、市）投档规则出档后，在考生符合专业要求的基础上，实行“专业志愿优先”原则，根据考生所填报专业志愿顺序，按考生投档总分排位情况从高到低录取。考生投档总分相同时，按照考生排位择优录取。当考生排位相同时，优先录取修习相关专业基础知识（模块）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w:t>
      </w:r>
      <w:r>
        <w:rPr>
          <w:rFonts w:ascii="Microsoft YaHei" w:eastAsia="Microsoft YaHei" w:hAnsi="Microsoft YaHei" w:cs="Microsoft YaHei"/>
          <w:color w:val="666666"/>
          <w:sz w:val="21"/>
          <w:szCs w:val="21"/>
        </w:rPr>
        <w:t> 本校环境艺术设计学分互认专业，只录取有专业志愿考生。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w:t>
      </w:r>
      <w:r>
        <w:rPr>
          <w:rFonts w:ascii="Microsoft YaHei" w:eastAsia="Microsoft YaHei" w:hAnsi="Microsoft YaHei" w:cs="Microsoft YaHei"/>
          <w:color w:val="666666"/>
          <w:sz w:val="21"/>
          <w:szCs w:val="21"/>
        </w:rPr>
        <w:t> 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w:t>
      </w:r>
      <w:r>
        <w:rPr>
          <w:rFonts w:ascii="Microsoft YaHei" w:eastAsia="Microsoft YaHei" w:hAnsi="Microsoft YaHei" w:cs="Microsoft YaHei"/>
          <w:color w:val="666666"/>
          <w:sz w:val="21"/>
          <w:szCs w:val="21"/>
        </w:rPr>
        <w:t> 本校公共外语教学为英语，非英语语种考生需慎重报考。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第二十八条 </w:t>
      </w:r>
      <w:r>
        <w:rPr>
          <w:rFonts w:ascii="Microsoft YaHei" w:eastAsia="Microsoft YaHei" w:hAnsi="Microsoft YaHei" w:cs="Microsoft YaHei"/>
          <w:color w:val="666666"/>
          <w:sz w:val="21"/>
          <w:szCs w:val="21"/>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第二十九条 </w:t>
      </w:r>
      <w:r>
        <w:rPr>
          <w:rFonts w:ascii="Microsoft YaHei" w:eastAsia="Microsoft YaHei" w:hAnsi="Microsoft YaHei" w:cs="Microsoft YaHei"/>
          <w:color w:val="666666"/>
          <w:sz w:val="21"/>
          <w:szCs w:val="21"/>
        </w:rPr>
        <w:t>本校录取考生的体检标准按照教育部、卫生部、中国残疾人联合会颁布的《普通高等学校招生体检工作指导意见》和《教育部办公厅 卫生部办公厅关于普通高等学校招生学生入学身体检查取消乙肝项目检测有关问题的通知》（教学厅〔2010〕2号）的有关规定执行。对于残障考生，若其生活能够自理，符合所报专业要求，且高考成绩达到录取标准，予以正常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本校招生专业对考生身体素质的具体要求详见各省（区、市）招生办公室公布的招生专业目录。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新生入学后，学校以教育部、卫生部、中国残疾人联合会制定的《普通高等学校招生体检工作指导意见》、《教育部办公厅 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新生注册和复查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第三十一条 </w:t>
      </w:r>
      <w:r>
        <w:rPr>
          <w:rFonts w:ascii="Microsoft YaHei" w:eastAsia="Microsoft YaHei" w:hAnsi="Microsoft YaHei" w:cs="Microsoft YaHei"/>
          <w:color w:val="666666"/>
          <w:sz w:val="21"/>
          <w:szCs w:val="21"/>
        </w:rPr>
        <w:t> 经本校夏季高考招生录取的考生，须在规定时间内办理缴交学费注册手续，逾期未注册者，作自行放弃入学资格处理。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第三十二条</w:t>
      </w:r>
      <w:r>
        <w:rPr>
          <w:rFonts w:ascii="Microsoft YaHei" w:eastAsia="Microsoft YaHei" w:hAnsi="Microsoft YaHei" w:cs="Microsoft YaHei"/>
          <w:color w:val="666666"/>
          <w:sz w:val="21"/>
          <w:szCs w:val="21"/>
        </w:rPr>
        <w:t>  新生入学三个月内，将对学生进行政治、文化、健康等方面的复查。对在报名和考试过程中有弄虚作假或其他违纪违规行为者，将按规定取消学籍。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第三十三条</w:t>
      </w:r>
      <w:r>
        <w:rPr>
          <w:rFonts w:ascii="Microsoft YaHei" w:eastAsia="Microsoft YaHei" w:hAnsi="Microsoft YaHei" w:cs="Microsoft YaHei"/>
          <w:color w:val="666666"/>
          <w:sz w:val="21"/>
          <w:szCs w:val="21"/>
        </w:rPr>
        <w:t> 本校收费标准按《关于调整公办普通高校学费的通知》（粤发改价格〔2016〕367号）和《广东省发展改革委 广东省教育厅 广东省财政厅关于广东省普通高校学分制收费的管理办法》（粤发改价格〔2016〕366号）公布的标准执行。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文科类专业学费 5250元/生·学年；理科类专业学费 6410元/生·学年；农林类专业学费 5128元/生·学年；美术类专业学费10000元/生·学年；住宿费1000-1600元/生·学年。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环境艺术设计学分互认专业学费待定。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  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第三十四条</w:t>
      </w:r>
      <w:r>
        <w:rPr>
          <w:rFonts w:ascii="Microsoft YaHei" w:eastAsia="Microsoft YaHei" w:hAnsi="Microsoft YaHei" w:cs="Microsoft YaHei"/>
          <w:color w:val="666666"/>
          <w:sz w:val="21"/>
          <w:szCs w:val="21"/>
        </w:rPr>
        <w:t> 国家助学贷款、奖学金、助学金、勤工助学等助学措施按照教育部、广东省教育厅和本校相关规定执行。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立优秀学生奖学金制度，奖学金分特等奖（2000元）、一等奖（1200元）、二等奖（800元）、三等奖（500元）。设立扶贫助学基金，扶助家庭经济困难、品学兼优学生，同时提供勤工助学岗位，帮助贫困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  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第三十五条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咨询电话：020-22014966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真：020-22014969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电子邮箱：gdkmzsb@163.com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学校网址：www.gdkm.edu.cn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招生网址：www.gdkm.edu.cn/Category_38/Index.aspx</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第三十六条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学校纪委办公室、监察处负责监察、监督学校招生工作，并接受相关申诉。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人：肖训生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监督电话：020-22014349；020-22014998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真：020-22014686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w:t>
      </w:r>
      <w:hyperlink r:id="rId4" w:history="1">
        <w:r>
          <w:rPr>
            <w:rFonts w:ascii="Microsoft YaHei" w:eastAsia="Microsoft YaHei" w:hAnsi="Microsoft YaHei" w:cs="Microsoft YaHei"/>
            <w:color w:val="666666"/>
            <w:sz w:val="21"/>
            <w:szCs w:val="21"/>
            <w:u w:val="single" w:color="666666"/>
          </w:rPr>
          <w:t>623329396@qq.com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第三十七条</w:t>
      </w:r>
      <w:r>
        <w:rPr>
          <w:rFonts w:ascii="Microsoft YaHei" w:eastAsia="Microsoft YaHei" w:hAnsi="Microsoft YaHei" w:cs="Microsoft YaHei"/>
          <w:color w:val="666666"/>
          <w:sz w:val="21"/>
          <w:szCs w:val="21"/>
        </w:rPr>
        <w:t> 本章程经学校校长办公会议讨论审查通过，适用于本校2020年夏季普通高考专科招生工作，自公布之日起施行。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第三十八条</w:t>
      </w:r>
      <w:r>
        <w:rPr>
          <w:rFonts w:ascii="Microsoft YaHei" w:eastAsia="Microsoft YaHei" w:hAnsi="Microsoft YaHei" w:cs="Microsoft YaHei"/>
          <w:color w:val="666666"/>
          <w:sz w:val="21"/>
          <w:szCs w:val="21"/>
        </w:rPr>
        <w:t> 本章程由广东科贸职业学院学院授权广东科贸职业学院招生办公室解释。本章程若与国家和各省（区、市）的规定不一致，则以国家和各省（区、市）的规定为准。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广州铁路职业技术学院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广州松田职业学院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604/19715.html" TargetMode="External" /><Relationship Id="rId11" Type="http://schemas.openxmlformats.org/officeDocument/2006/relationships/hyperlink" Target="http://www.gk114.com/a/gxzs/zszc/guangdong/2021/0311/19010.html" TargetMode="External" /><Relationship Id="rId12" Type="http://schemas.openxmlformats.org/officeDocument/2006/relationships/hyperlink" Target="http://www.gk114.com/a/gxzs/zszc/guangdong/2021/0311/19009.html" TargetMode="External" /><Relationship Id="rId13" Type="http://schemas.openxmlformats.org/officeDocument/2006/relationships/hyperlink" Target="http://www.gk114.com/a/gxzs/zszc/guangdong/2021/0311/19008.html" TargetMode="External" /><Relationship Id="rId14" Type="http://schemas.openxmlformats.org/officeDocument/2006/relationships/hyperlink" Target="http://www.gk114.com/a/gxzs/zszc/guangdong/2021/0311/19007.html" TargetMode="External" /><Relationship Id="rId15" Type="http://schemas.openxmlformats.org/officeDocument/2006/relationships/hyperlink" Target="http://www.gk114.com/a/gxzs/zszc/guangdong/2021/0311/19006.html" TargetMode="External" /><Relationship Id="rId16" Type="http://schemas.openxmlformats.org/officeDocument/2006/relationships/hyperlink" Target="http://www.gk114.com/a/gxzs/zszc/guangdong/2021/0311/19005.html" TargetMode="External" /><Relationship Id="rId17" Type="http://schemas.openxmlformats.org/officeDocument/2006/relationships/hyperlink" Target="http://www.gk114.com/a/gxzs/zszc/guangdong/2021/0311/190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20623329396@qq.com" TargetMode="External" /><Relationship Id="rId5" Type="http://schemas.openxmlformats.org/officeDocument/2006/relationships/hyperlink" Target="http://www.gk114.com/a/gxzs/zszc/guangdong/2021/0311/18986.html" TargetMode="External" /><Relationship Id="rId6" Type="http://schemas.openxmlformats.org/officeDocument/2006/relationships/hyperlink" Target="http://www.gk114.com/a/gxzs/zszc/guangdong/2021/0311/18988.html" TargetMode="External" /><Relationship Id="rId7" Type="http://schemas.openxmlformats.org/officeDocument/2006/relationships/hyperlink" Target="http://www.gk114.com/a/gxzs/zszc/guangdong/" TargetMode="External" /><Relationship Id="rId8" Type="http://schemas.openxmlformats.org/officeDocument/2006/relationships/hyperlink" Target="http://www.gk114.com/a/gxzs/zszc/guangdong/2022/0605/22697.html" TargetMode="External" /><Relationship Id="rId9" Type="http://schemas.openxmlformats.org/officeDocument/2006/relationships/hyperlink" Target="http://www.gk114.com/a/gxzs/zszc/guangdong/2021/0608/197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