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广东舞蹈戏剧职业学院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学校名称：广东舞蹈戏剧职业学院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14407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学校地址：佛山市南海区狮山高尔夫路；邮政编码：</w:t>
      </w:r>
      <w:r>
        <w:rPr>
          <w:rFonts w:ascii="Times New Roman" w:eastAsia="Times New Roman" w:hAnsi="Times New Roman" w:cs="Times New Roman"/>
        </w:rPr>
        <w:t xml:space="preserve">528231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东舞蹈戏剧职业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在省（区、市）招生委员会划定的录取最低控制分数线上，在确保完成招生计划的前提下，按照文科类、体育类、艺术类（含音乐类、美术类、舞蹈类、广播电视编导类）分类录取。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门科目的考试，各门考试均须获得等级成绩；且报考专科院校普通类专业至少须有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在广东省，报考本校普通专科层次体育类专业，考生必须参加普通高中学业水平考试思想政治、历史、地理</w:t>
      </w:r>
      <w:r>
        <w:rPr>
          <w:rFonts w:ascii="Times New Roman" w:eastAsia="Times New Roman" w:hAnsi="Times New Roman" w:cs="Times New Roman"/>
        </w:rPr>
        <w:t>3</w:t>
      </w:r>
      <w:r>
        <w:rPr>
          <w:rFonts w:ascii="SimSun" w:eastAsia="SimSun" w:hAnsi="SimSun" w:cs="SimSun"/>
        </w:rPr>
        <w:t>门科目的考试，且至少有两门科目成绩达到</w:t>
      </w:r>
      <w:r>
        <w:rPr>
          <w:rFonts w:ascii="Times New Roman" w:eastAsia="Times New Roman" w:hAnsi="Times New Roman" w:cs="Times New Roman"/>
        </w:rPr>
        <w:t>D</w:t>
      </w:r>
      <w:r>
        <w:rPr>
          <w:rFonts w:ascii="SimSun" w:eastAsia="SimSun" w:hAnsi="SimSun" w:cs="SimSun"/>
        </w:rPr>
        <w:t>级及以上等级。报考本校艺术类（含音乐类、美术类、舞蹈类、广播电视编导类）专业，参加高考文科类文化课考试的考生必须参加物理、化学、生物学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文科类专业分档时，根据各省（区、市）投档规则出档后，实行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体育类及艺术类统考专业分档时，根据各省（区、市）投档规则出档后，在考生符合专业要求的基础上，实行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原则，根据考生所填报专业志愿顺序，按考生投档总分排位情况从高到低录取。考生投档总分相同时，按照考生排位择优录取。当考生排位相同时，优先录取修习相关专业基础知识（模块）的考生。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艺术类校考分档时，在高考文化成绩和术科校考成绩双上线的基础上，按照考生合成总分（合成总分</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×40%+</w:t>
      </w:r>
      <w:r>
        <w:rPr>
          <w:rFonts w:ascii="SimSun" w:eastAsia="SimSun" w:hAnsi="SimSun" w:cs="SimSun"/>
        </w:rPr>
        <w:t>术科校考成绩</w:t>
      </w:r>
      <w:r>
        <w:rPr>
          <w:rFonts w:ascii="Times New Roman" w:eastAsia="Times New Roman" w:hAnsi="Times New Roman" w:cs="Times New Roman"/>
        </w:rPr>
        <w:t>×60%</w:t>
      </w:r>
      <w:r>
        <w:rPr>
          <w:rFonts w:ascii="SimSun" w:eastAsia="SimSun" w:hAnsi="SimSun" w:cs="SimSun"/>
        </w:rPr>
        <w:t>）从高到低录取。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考生总分排序规则为：按合成总分从高到低排序，合成总分相同时，依照术科统考成绩从高到低排序，术科统考成绩仍相同时，按照普通高考语文、英语、文科综合</w:t>
      </w:r>
      <w:r>
        <w:rPr>
          <w:rFonts w:ascii="Times New Roman" w:eastAsia="Times New Roman" w:hAnsi="Times New Roman" w:cs="Times New Roman"/>
        </w:rPr>
        <w:t>/</w:t>
      </w:r>
      <w:r>
        <w:rPr>
          <w:rFonts w:ascii="SimSun" w:eastAsia="SimSun" w:hAnsi="SimSun" w:cs="SimSun"/>
        </w:rPr>
        <w:t>理科综合、文科数学</w:t>
      </w:r>
      <w:r>
        <w:rPr>
          <w:rFonts w:ascii="Times New Roman" w:eastAsia="Times New Roman" w:hAnsi="Times New Roman" w:cs="Times New Roman"/>
        </w:rPr>
        <w:t>/</w:t>
      </w:r>
      <w:r>
        <w:rPr>
          <w:rFonts w:ascii="SimSun" w:eastAsia="SimSun" w:hAnsi="SimSun" w:cs="SimSun"/>
        </w:rPr>
        <w:t>理科数学科目成绩依次排序。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w:t>
      </w:r>
      <w:r>
        <w:rPr>
          <w:rFonts w:ascii="Times New Roman" w:eastAsia="Times New Roman" w:hAnsi="Times New Roman" w:cs="Times New Roman"/>
        </w:rPr>
        <w:t>5250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学年；艺术类专业学费</w:t>
      </w:r>
      <w:r>
        <w:rPr>
          <w:rFonts w:ascii="Times New Roman" w:eastAsia="Times New Roman" w:hAnsi="Times New Roman" w:cs="Times New Roman"/>
        </w:rPr>
        <w:t xml:space="preserve"> 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学年；其他类专业学费（传播与策划专业、电子竞技运动与管理专业）</w:t>
      </w:r>
      <w:r>
        <w:rPr>
          <w:rFonts w:ascii="Times New Roman" w:eastAsia="Times New Roman" w:hAnsi="Times New Roman" w:cs="Times New Roman"/>
        </w:rPr>
        <w:t>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r>
        <w:rPr>
          <w:rFonts w:ascii="SimSun" w:eastAsia="SimSun" w:hAnsi="SimSun" w:cs="SimSun"/>
        </w:rPr>
        <w:t>学年；住宿费</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020-87047495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020-87047560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gdddczsb@163.com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http://www.gdddc.edu.cn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http://www.gdddc.edu.cn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人：林嘉怡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0757-85583610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86933685@qq.com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本章程由广东舞蹈戏剧职业学院授权广东舞蹈戏剧职业学院招生办公室解释。本章程若与国家和各省（区、市）的规定不一致，则以国家和各省（区、市）的规定为准。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广东创新科技职业学院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广州华立科技职业学院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78.html" TargetMode="External" /><Relationship Id="rId5" Type="http://schemas.openxmlformats.org/officeDocument/2006/relationships/hyperlink" Target="http://www.gk114.com/a/gxzs/zszc/guangdong/2021/0311/18980.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