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广东青年职业学院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年夏季普通高考招生章程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夏季普通高考招生工作顺利进行，切实维护学校和考生的合法权益，依据《中华人民共和国教育法》和《中华人民共和国高等教育法》等法规、国务院和广东省关于深化考试招生制度改革的实施意见文件精神以及教育部、省招生委员会的有关规定，全面落实《教育部关于进一步推进高校招生信息公开工作的通知》</w:t>
      </w:r>
      <w:r>
        <w:rPr>
          <w:rFonts w:ascii="Times New Roman" w:eastAsia="Times New Roman" w:hAnsi="Times New Roman" w:cs="Times New Roman"/>
        </w:rPr>
        <w:t>(</w:t>
      </w:r>
      <w:r>
        <w:rPr>
          <w:rFonts w:ascii="SimSun" w:eastAsia="SimSun" w:hAnsi="SimSun" w:cs="SimSun"/>
        </w:rPr>
        <w:t>教学函</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的要求，结合学校实际情况，特制定本章程。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学校名称：广东青年职业学院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 xml:space="preserve">14361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学校地址：广东省广州市白云区钟落潭镇障岗现龙街南</w:t>
      </w:r>
      <w:r>
        <w:rPr>
          <w:rFonts w:ascii="Times New Roman" w:eastAsia="Times New Roman" w:hAnsi="Times New Roman" w:cs="Times New Roman"/>
        </w:rPr>
        <w:t>101</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邮政编码：</w:t>
      </w:r>
      <w:r>
        <w:rPr>
          <w:rFonts w:ascii="Times New Roman" w:eastAsia="Times New Roman" w:hAnsi="Times New Roman" w:cs="Times New Roman"/>
        </w:rPr>
        <w:t xml:space="preserve">510545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办学层次：专科（高职）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学校隶属部门：共青团广东省委员会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学校业务主管单位：广东省教育厅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毕（结）业颁证：按国家招生管理规定录取并取得本校正式学籍的学生，在校期间完成教学计划规定的理论和实践教学环节，成绩合格，获得规定的学分，达到毕（结）业要求者，颁发普通高等学校毕（结）业证书。颁发证书学校名称：广东青年职业学院，证书种类：普通高等学校毕（结）业证书。退学学生，视具体情况发放肄业证书或开具写实性学习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设立由学校领导和相关职能部门负责人、学校教师、学生及校友代表组成的招生委员会，全面贯彻执行教育部和广东省招生委员会有关普通高校考试招生政策，负责制定学校招生章程、招生规定和实施细则、确定招生规模和调整专业招生计划，组织管理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办公室为学校招生委员会的执行机构，其主要职责是根据学校的招生规定和实施细则，编制招生计划，组织招生宣传和录取工作，处理招生的日常事务。招生工作人员必须严格遵守招生纪律和有关考试命题的规定，主动接受纪检监察部门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学校设立由学校领导和纪检监察部门组成的考试招生监察小组，对招生工作全过程实施监督。在录取期间成立信访组，安排专人负责考生和社会的信访、申诉、投诉处理工作。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学校录取批次为专科批次。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学校分专业招生计划及有关要求均以生源省（区、市）公布的专业目录为准。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学校遵循教育部规定的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的录取体制，严格遵守教育部、省（区、市）招生办公室的有关招生录取政策和规定，本着公开、公平、公正的原则，以考生高考成绩为基本依据，综合衡量德智体美劳，择优录取。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在省（区、市）招生委员会划定的录取最低控制分数线上，在确保完成招生计划的前提下，按照文科类、理科类、艺术类（美术类）分类录取。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在广东省，报考普通专科层次普通类专业，文科类考生必须参加普通高中学业水平物理、化学、生物学</w:t>
      </w:r>
      <w:r>
        <w:rPr>
          <w:rFonts w:ascii="Times New Roman" w:eastAsia="Times New Roman" w:hAnsi="Times New Roman" w:cs="Times New Roman"/>
        </w:rPr>
        <w:t>3</w:t>
      </w:r>
      <w:r>
        <w:rPr>
          <w:rFonts w:ascii="SimSun" w:eastAsia="SimSun" w:hAnsi="SimSun" w:cs="SimSun"/>
        </w:rPr>
        <w:t>门科目的考试，理科类考生必须参加普通高中学业水平思想政治、历史、地理</w:t>
      </w:r>
      <w:r>
        <w:rPr>
          <w:rFonts w:ascii="Times New Roman" w:eastAsia="Times New Roman" w:hAnsi="Times New Roman" w:cs="Times New Roman"/>
        </w:rPr>
        <w:t>3</w:t>
      </w:r>
      <w:r>
        <w:rPr>
          <w:rFonts w:ascii="SimSun" w:eastAsia="SimSun" w:hAnsi="SimSun" w:cs="SimSun"/>
        </w:rPr>
        <w:t>门科目的考试，各门考试均须获得等级成绩；且报考专科院校普通类专业至少须有</w:t>
      </w:r>
      <w:r>
        <w:rPr>
          <w:rFonts w:ascii="Times New Roman" w:eastAsia="Times New Roman" w:hAnsi="Times New Roman" w:cs="Times New Roman"/>
        </w:rPr>
        <w:t>1</w:t>
      </w:r>
      <w:r>
        <w:rPr>
          <w:rFonts w:ascii="SimSun" w:eastAsia="SimSun" w:hAnsi="SimSun" w:cs="SimSun"/>
        </w:rPr>
        <w:t>门成绩达到</w:t>
      </w:r>
      <w:r>
        <w:rPr>
          <w:rFonts w:ascii="Times New Roman" w:eastAsia="Times New Roman" w:hAnsi="Times New Roman" w:cs="Times New Roman"/>
        </w:rPr>
        <w:t>C</w:t>
      </w:r>
      <w:r>
        <w:rPr>
          <w:rFonts w:ascii="SimSun" w:eastAsia="SimSun" w:hAnsi="SimSun" w:cs="SimSun"/>
        </w:rPr>
        <w:t>级及以上等级。具体要求以广东省当年招生录取工作文件为准。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在广东省，报考普通专科层次报考艺术类（美术类）考生，参加高考文科类文化课考试的考生必须参加物理、化学、生物学</w:t>
      </w:r>
      <w:r>
        <w:rPr>
          <w:rFonts w:ascii="Times New Roman" w:eastAsia="Times New Roman" w:hAnsi="Times New Roman" w:cs="Times New Roman"/>
        </w:rPr>
        <w:t>3</w:t>
      </w:r>
      <w:r>
        <w:rPr>
          <w:rFonts w:ascii="SimSun" w:eastAsia="SimSun" w:hAnsi="SimSun" w:cs="SimSun"/>
        </w:rPr>
        <w:t>门科目普通高中学考，参加高考理科类文化课考试的考生必须参加思想政治、历史、地理</w:t>
      </w:r>
      <w:r>
        <w:rPr>
          <w:rFonts w:ascii="Times New Roman" w:eastAsia="Times New Roman" w:hAnsi="Times New Roman" w:cs="Times New Roman"/>
        </w:rPr>
        <w:t>3</w:t>
      </w:r>
      <w:r>
        <w:rPr>
          <w:rFonts w:ascii="SimSun" w:eastAsia="SimSun" w:hAnsi="SimSun" w:cs="SimSun"/>
        </w:rPr>
        <w:t>门科目的普通高中学考；且至少须有</w:t>
      </w:r>
      <w:r>
        <w:rPr>
          <w:rFonts w:ascii="Times New Roman" w:eastAsia="Times New Roman" w:hAnsi="Times New Roman" w:cs="Times New Roman"/>
        </w:rPr>
        <w:t>2</w:t>
      </w:r>
      <w:r>
        <w:rPr>
          <w:rFonts w:ascii="SimSun" w:eastAsia="SimSun" w:hAnsi="SimSun" w:cs="SimSun"/>
        </w:rPr>
        <w:t>门科目成绩达到</w:t>
      </w:r>
      <w:r>
        <w:rPr>
          <w:rFonts w:ascii="Times New Roman" w:eastAsia="Times New Roman" w:hAnsi="Times New Roman" w:cs="Times New Roman"/>
        </w:rPr>
        <w:t>D</w:t>
      </w:r>
      <w:r>
        <w:rPr>
          <w:rFonts w:ascii="SimSun" w:eastAsia="SimSun" w:hAnsi="SimSun" w:cs="SimSun"/>
        </w:rPr>
        <w:t>级及以上等级。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在实行平行志愿投档的省（区、市），本校可根据各省级招生办公室公布的平行志愿投档规则及生源情况确定招生计划微调方案和调档比例。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在思想政治品德考核和身体健康状况检查合格、统考成绩达到同批录取最低分数线，符合学院提档要求的情况下，依据考生志愿、专业志愿，以及本校录取原则，择优录取。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文科类、理科类专业分档时，根据各省（区、市）投档规则出档后，实行</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原则，根据考生填报专业志愿顺序，按考生投档总分排位情况从高到低排序录取。考生投档总分排位相同时，优先录取已修习相关专业基础知识（模块）的考生。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美术类统考专业分档时，根据各省（区、市）投档规则出档后，在考生符合专业要求的基础上，实行</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原则，根据考生所填报专业志愿顺序，按考生投档总分排位情况从高到低录取。考生投档总分相同时，按照考生排位择优录取。当考生排位相同时，优先录取修习相关专业基础知识（模块）的考生。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考生所填报的所有专业志愿均未被录取时，若服从专业调剂，按考生投档总分从高到低调剂到计划有空额且符合相关专业要求的专业录取；考生不服从调剂的，或服从调剂但是不符合计划有空额专业相关要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本校公共外语教学为英语，非英语语种考生需慎重报考。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有关加分或照顾录取政策，在各省份执行各省（区、市）招生办公布的加分项目及分值。加分分值适用于投档及专业分档。符合国家和省（区、市）招生办公室公布的优录条件考生，本校在同等条件下优先录取。对考生学业水平成绩的要求，按各省（区、市）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本校录取考生的体检标准按照教育部、卫生部、中国残疾人联合会颁布的《普通高等学校招生体检工作指导意见》和《教育部办公厅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有关规定执行。对于残障考生，若其生活能够自理，符合所报专业要求，且高考成绩达到录取标准，予以正常录取。本校招生专业对考生身体素质的具体要求详见各省（区、市）招生办公室公布的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新生入学后，学校以教育部、卫生部、中国残疾人联合会制定的《普通高等学校招生体检工作指导意见》、《教育部办公厅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为依据，对新生身体健康状况进行复查，对经复查不符合体检要求或不宜就读已录取专业者，按有关学籍管理规定办理，予以转专业或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新生注册和复查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经本校夏季高考招生录取的考生，须在规定时间内办理缴交学费注册手续，逾期未注册者，作自行放弃入学资格处理。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新生入学三个月内，将对学生进行政治、文化、健康等方面的复查。对在报名和考试过程中有弄虚作假或其他违纪违规行为者，将按规定取消学籍。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本校收费标准按《关于调整公办普通高校学费的通知》（粤发改价格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367</w:t>
      </w:r>
      <w:r>
        <w:rPr>
          <w:rFonts w:ascii="SimSun" w:eastAsia="SimSun" w:hAnsi="SimSun" w:cs="SimSun"/>
        </w:rPr>
        <w:t>号）和《广东省发展改革委</w:t>
      </w:r>
      <w:r>
        <w:rPr>
          <w:rFonts w:ascii="Times New Roman" w:eastAsia="Times New Roman" w:hAnsi="Times New Roman" w:cs="Times New Roman"/>
        </w:rPr>
        <w:t xml:space="preserve"> </w:t>
      </w:r>
      <w:r>
        <w:rPr>
          <w:rFonts w:ascii="SimSun" w:eastAsia="SimSun" w:hAnsi="SimSun" w:cs="SimSun"/>
        </w:rPr>
        <w:t>广东省教育厅</w:t>
      </w:r>
      <w:r>
        <w:rPr>
          <w:rFonts w:ascii="Times New Roman" w:eastAsia="Times New Roman" w:hAnsi="Times New Roman" w:cs="Times New Roman"/>
        </w:rPr>
        <w:t xml:space="preserve"> </w:t>
      </w:r>
      <w:r>
        <w:rPr>
          <w:rFonts w:ascii="SimSun" w:eastAsia="SimSun" w:hAnsi="SimSun" w:cs="SimSun"/>
        </w:rPr>
        <w:t>广东省财政厅关于广东省普通高校学分制收费的管理办法》（粤发改价格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366</w:t>
      </w:r>
      <w:r>
        <w:rPr>
          <w:rFonts w:ascii="SimSun" w:eastAsia="SimSun" w:hAnsi="SimSun" w:cs="SimSun"/>
        </w:rPr>
        <w:t>号）公布的标准执行。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学费标准：文科类专业学费</w:t>
      </w:r>
      <w:r>
        <w:rPr>
          <w:rFonts w:ascii="Times New Roman" w:eastAsia="Times New Roman" w:hAnsi="Times New Roman" w:cs="Times New Roman"/>
        </w:rPr>
        <w:t>5250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学年；理工科类专业学费</w:t>
      </w:r>
      <w:r>
        <w:rPr>
          <w:rFonts w:ascii="Times New Roman" w:eastAsia="Times New Roman" w:hAnsi="Times New Roman" w:cs="Times New Roman"/>
        </w:rPr>
        <w:t>6410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学年；艺术类专业学费</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国家助学贷款、奖学金、助学金等助学措施按照教育部、广东省教育厅和我校相关规定执行。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校级奖学金：最高为</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先进个人及团体：最高</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赛莱拉创新奖学金：最高</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（二）学生资助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国家助学金：最高</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、校级助学金：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海外研学项目：全额资助高校家庭经济困难优秀大学生出国留学，</w:t>
      </w:r>
      <w:r>
        <w:rPr>
          <w:rFonts w:ascii="Times New Roman" w:eastAsia="Times New Roman" w:hAnsi="Times New Roman" w:cs="Times New Roman"/>
        </w:rPr>
        <w:t>30000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国内研学：全额资助高校家庭经济困难优秀大学生国内研学，不超过</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高校国家助学贷款：每年贷款额度最高</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生源地信用国家助学贷款：每年最高贷款额度为</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就业求职补贴：在毕业年度内积极求职的家庭经济困难学生给予补贴，</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建档立卡贫困户子女补助：免学杂费最高</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人，同时补助生活费</w:t>
      </w:r>
      <w:r>
        <w:rPr>
          <w:rFonts w:ascii="Times New Roman" w:eastAsia="Times New Roman" w:hAnsi="Times New Roman" w:cs="Times New Roman"/>
        </w:rPr>
        <w:t>7000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少数民族资助：对广东省少数民族聚居区少数民族大学生一次性资助</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南粤扶残助学工程：对广东省户籍持有二代残疾人证的大学生一次性资助</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临时帮扶基金：对家庭经济临时困难学生给予一定的生活补助，最高</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w:t>
      </w:r>
      <w:r>
        <w:rPr>
          <w:rFonts w:ascii="SimSun" w:eastAsia="SimSun" w:hAnsi="SimSun" w:cs="SimSun"/>
        </w:rPr>
        <w:t>新生交通伙食补贴：为家庭经济特别困难的新生发放伙食和交通补助</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13.</w:t>
      </w:r>
      <w:r>
        <w:rPr>
          <w:rFonts w:ascii="SimSun" w:eastAsia="SimSun" w:hAnsi="SimSun" w:cs="SimSun"/>
        </w:rPr>
        <w:t>就业帮扶基金：为家庭经济特别困难的毕业生发放伙食和交通补助。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14.</w:t>
      </w:r>
      <w:r>
        <w:rPr>
          <w:rFonts w:ascii="SimSun" w:eastAsia="SimSun" w:hAnsi="SimSun" w:cs="SimSun"/>
        </w:rPr>
        <w:t>入伍和退伍学生的学费补偿：自新生报到注册至毕业离校前，保留学籍入伍的或退伍复学的学生均享受三年学费补偿，最高</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15.</w:t>
      </w:r>
      <w:r>
        <w:rPr>
          <w:rFonts w:ascii="SimSun" w:eastAsia="SimSun" w:hAnsi="SimSun" w:cs="SimSun"/>
        </w:rPr>
        <w:t>欠发达地区退伍生活补助：凡生源地在汕头、韶关、河源、梅州、惠州、汕尾、阳江、湛江、茂名、肇庆、清远、潮州、揭阳、云浮和江门恩平等欠发达地区的退伍学生（含高考入学和复学），均享受三年生活费和住宿费补贴，</w:t>
      </w:r>
      <w:r>
        <w:rPr>
          <w:rFonts w:ascii="Times New Roman" w:eastAsia="Times New Roman" w:hAnsi="Times New Roman" w:cs="Times New Roman"/>
        </w:rPr>
        <w:t>7000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（三）鼓励并提供困难学生校内勤工俭学岗位，时薪</w:t>
      </w:r>
      <w:r>
        <w:rPr>
          <w:rFonts w:ascii="Times New Roman" w:eastAsia="Times New Roman" w:hAnsi="Times New Roman" w:cs="Times New Roman"/>
        </w:rPr>
        <w:t>20.3</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（四）对特困学生学费可申请学费缓交。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（五）对家庭经济困难的学生在入学报到时，设置</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招生工作的咨询、监督与申诉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020-37250935 </w:t>
      </w:r>
      <w:r>
        <w:rPr>
          <w:rFonts w:ascii="SimSun" w:eastAsia="SimSun" w:hAnsi="SimSun" w:cs="SimSun"/>
        </w:rPr>
        <w:t>、</w:t>
      </w:r>
      <w:r>
        <w:rPr>
          <w:rFonts w:ascii="Times New Roman" w:eastAsia="Times New Roman" w:hAnsi="Times New Roman" w:cs="Times New Roman"/>
        </w:rPr>
        <w:t xml:space="preserve">37250936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020-37251113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gqyzsb@126.com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 www.gdyvc.cn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http://www.gdyvc.cn/zsjy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接受纪律监督与申诉的联系部门：学校纪律检查委员会办公室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w:t>
      </w:r>
      <w:r>
        <w:rPr>
          <w:rFonts w:ascii="Times New Roman" w:eastAsia="Times New Roman" w:hAnsi="Times New Roman" w:cs="Times New Roman"/>
        </w:rPr>
        <w:t xml:space="preserve"> </w:t>
      </w:r>
      <w:r>
        <w:rPr>
          <w:rFonts w:ascii="SimSun" w:eastAsia="SimSun" w:hAnsi="SimSun" w:cs="SimSun"/>
        </w:rPr>
        <w:t>王紫</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020-36769691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524276073@qq.com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本章程经学校校长办公会议讨论审查通过，适用于广东青年职业学院</w:t>
      </w:r>
      <w:r>
        <w:rPr>
          <w:rFonts w:ascii="Times New Roman" w:eastAsia="Times New Roman" w:hAnsi="Times New Roman" w:cs="Times New Roman"/>
        </w:rPr>
        <w:t>2020</w:t>
      </w:r>
      <w:r>
        <w:rPr>
          <w:rFonts w:ascii="SimSun" w:eastAsia="SimSun" w:hAnsi="SimSun" w:cs="SimSun"/>
        </w:rPr>
        <w:t>年夏季普通高考专科招生工作，自公布之日起施行。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第四十条</w:t>
      </w:r>
      <w:r>
        <w:rPr>
          <w:rFonts w:ascii="Times New Roman" w:eastAsia="Times New Roman" w:hAnsi="Times New Roman" w:cs="Times New Roman"/>
        </w:rPr>
        <w:t xml:space="preserve"> </w:t>
      </w:r>
      <w:r>
        <w:rPr>
          <w:rFonts w:ascii="SimSun" w:eastAsia="SimSun" w:hAnsi="SimSun" w:cs="SimSun"/>
        </w:rPr>
        <w:t>本章程由广东青年职业学院授权广东青年职业学院招生办公室解释。本章程若与国家和省的规定不一致，以国家和省的规定为准。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广州华商职业学院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广州东华职业学院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四川工商学院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311/19010.html" TargetMode="External" /><Relationship Id="rId11" Type="http://schemas.openxmlformats.org/officeDocument/2006/relationships/hyperlink" Target="http://www.gk114.com/a/gxzs/zszc/guangdong/2021/0311/19009.html" TargetMode="External" /><Relationship Id="rId12" Type="http://schemas.openxmlformats.org/officeDocument/2006/relationships/hyperlink" Target="http://www.gk114.com/a/gxzs/zszc/guangdong/2021/0311/19008.html" TargetMode="External" /><Relationship Id="rId13" Type="http://schemas.openxmlformats.org/officeDocument/2006/relationships/hyperlink" Target="http://www.gk114.com/a/gxzs/zszc/guangdong/2021/0311/19007.html" TargetMode="External" /><Relationship Id="rId14" Type="http://schemas.openxmlformats.org/officeDocument/2006/relationships/hyperlink" Target="http://www.gk114.com/a/gxzs/zszc/guangdong/2021/0311/19006.html" TargetMode="External" /><Relationship Id="rId15" Type="http://schemas.openxmlformats.org/officeDocument/2006/relationships/hyperlink" Target="http://www.gk114.com/a/gxzs/zszc/guangdong/2021/0311/19005.html" TargetMode="External" /><Relationship Id="rId16" Type="http://schemas.openxmlformats.org/officeDocument/2006/relationships/hyperlink" Target="http://www.gk114.com/a/gxzs/zszc/guangdong/2021/0311/1900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dong/2021/0311/18975.html" TargetMode="External" /><Relationship Id="rId5" Type="http://schemas.openxmlformats.org/officeDocument/2006/relationships/hyperlink" Target="http://www.gk114.com/a/gxzs/zszc/guangdong/2021/0311/18977.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605/22697.html" TargetMode="External" /><Relationship Id="rId8" Type="http://schemas.openxmlformats.org/officeDocument/2006/relationships/hyperlink" Target="http://www.gk114.com/a/gxzs/zszc/guangdong/2021/0608/19791.html" TargetMode="External" /><Relationship Id="rId9" Type="http://schemas.openxmlformats.org/officeDocument/2006/relationships/hyperlink" Target="http://www.gk114.com/a/gxzs/zszc/guangdong/2021/0604/197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