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广东：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年春季高考录取进行时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>
        <w:rPr>
          <w:rFonts w:ascii="SimSun" w:eastAsia="SimSun" w:hAnsi="SimSun" w:cs="SimSun"/>
          <w:kern w:val="36"/>
          <w:sz w:val="48"/>
          <w:szCs w:val="48"/>
        </w:rPr>
        <w:t>已投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23</w:t>
      </w:r>
      <w:r>
        <w:rPr>
          <w:rFonts w:ascii="SimSun" w:eastAsia="SimSun" w:hAnsi="SimSun" w:cs="SimSun"/>
          <w:kern w:val="36"/>
          <w:sz w:val="48"/>
          <w:szCs w:val="48"/>
        </w:rPr>
        <w:t>万人！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2022-03-28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我省</w:t>
      </w:r>
      <w:r>
        <w:rPr>
          <w:rFonts w:ascii="Times New Roman" w:eastAsia="Times New Roman" w:hAnsi="Times New Roman" w:cs="Times New Roman"/>
        </w:rPr>
        <w:t>2022</w:t>
      </w:r>
      <w:r>
        <w:rPr>
          <w:rFonts w:ascii="SimSun" w:eastAsia="SimSun" w:hAnsi="SimSun" w:cs="SimSun"/>
        </w:rPr>
        <w:t>年春季高考录取工作于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23</w:t>
      </w:r>
      <w:r>
        <w:rPr>
          <w:rFonts w:ascii="SimSun" w:eastAsia="SimSun" w:hAnsi="SimSun" w:cs="SimSun"/>
        </w:rPr>
        <w:t>日正式开始。目前，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本科批次已完成投档录取工作，共录取</w:t>
      </w:r>
      <w:r>
        <w:rPr>
          <w:rFonts w:ascii="Times New Roman" w:eastAsia="Times New Roman" w:hAnsi="Times New Roman" w:cs="Times New Roman"/>
        </w:rPr>
        <w:t>893</w:t>
      </w:r>
      <w:r>
        <w:rPr>
          <w:rFonts w:ascii="SimSun" w:eastAsia="SimSun" w:hAnsi="SimSun" w:cs="SimSun"/>
        </w:rPr>
        <w:t>名考生。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专科批次于</w:t>
      </w:r>
      <w:r>
        <w:rPr>
          <w:rFonts w:ascii="Times New Roman" w:eastAsia="Times New Roman" w:hAnsi="Times New Roman" w:cs="Times New Roman"/>
        </w:rPr>
        <w:t>24</w:t>
      </w:r>
      <w:r>
        <w:rPr>
          <w:rFonts w:ascii="SimSun" w:eastAsia="SimSun" w:hAnsi="SimSun" w:cs="SimSun"/>
        </w:rPr>
        <w:t>日开始投档，共投出</w:t>
      </w:r>
      <w:r>
        <w:rPr>
          <w:rFonts w:ascii="Times New Roman" w:eastAsia="Times New Roman" w:hAnsi="Times New Roman" w:cs="Times New Roman"/>
        </w:rPr>
        <w:t>23.2</w:t>
      </w:r>
      <w:r>
        <w:rPr>
          <w:rFonts w:ascii="SimSun" w:eastAsia="SimSun" w:hAnsi="SimSun" w:cs="SimSun"/>
        </w:rPr>
        <w:t>万名考生，其中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投出普通类</w:t>
      </w:r>
      <w:r>
        <w:rPr>
          <w:rFonts w:ascii="Times New Roman" w:eastAsia="Times New Roman" w:hAnsi="Times New Roman" w:cs="Times New Roman"/>
        </w:rPr>
        <w:t>13.98</w:t>
      </w:r>
      <w:r>
        <w:rPr>
          <w:rFonts w:ascii="SimSun" w:eastAsia="SimSun" w:hAnsi="SimSun" w:cs="SimSun"/>
        </w:rPr>
        <w:t>万人、体育类</w:t>
      </w:r>
      <w:r>
        <w:rPr>
          <w:rFonts w:ascii="Times New Roman" w:eastAsia="Times New Roman" w:hAnsi="Times New Roman" w:cs="Times New Roman"/>
        </w:rPr>
        <w:t>1792</w:t>
      </w:r>
      <w:r>
        <w:rPr>
          <w:rFonts w:ascii="SimSun" w:eastAsia="SimSun" w:hAnsi="SimSun" w:cs="SimSun"/>
        </w:rPr>
        <w:t>人、音乐类</w:t>
      </w:r>
      <w:r>
        <w:rPr>
          <w:rFonts w:ascii="Times New Roman" w:eastAsia="Times New Roman" w:hAnsi="Times New Roman" w:cs="Times New Roman"/>
        </w:rPr>
        <w:t>562</w:t>
      </w:r>
      <w:r>
        <w:rPr>
          <w:rFonts w:ascii="SimSun" w:eastAsia="SimSun" w:hAnsi="SimSun" w:cs="SimSun"/>
        </w:rPr>
        <w:t>人、美术类</w:t>
      </w:r>
      <w:r>
        <w:rPr>
          <w:rFonts w:ascii="Times New Roman" w:eastAsia="Times New Roman" w:hAnsi="Times New Roman" w:cs="Times New Roman"/>
        </w:rPr>
        <w:t>4054</w:t>
      </w:r>
      <w:r>
        <w:rPr>
          <w:rFonts w:ascii="SimSun" w:eastAsia="SimSun" w:hAnsi="SimSun" w:cs="SimSun"/>
        </w:rPr>
        <w:t>人、舞蹈类</w:t>
      </w:r>
      <w:r>
        <w:rPr>
          <w:rFonts w:ascii="Times New Roman" w:eastAsia="Times New Roman" w:hAnsi="Times New Roman" w:cs="Times New Roman"/>
        </w:rPr>
        <w:t>115</w:t>
      </w:r>
      <w:r>
        <w:rPr>
          <w:rFonts w:ascii="SimSun" w:eastAsia="SimSun" w:hAnsi="SimSun" w:cs="SimSun"/>
        </w:rPr>
        <w:t>人、广播电视编导类</w:t>
      </w:r>
      <w:r>
        <w:rPr>
          <w:rFonts w:ascii="Times New Roman" w:eastAsia="Times New Roman" w:hAnsi="Times New Roman" w:cs="Times New Roman"/>
        </w:rPr>
        <w:t>101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专科中职生投出</w:t>
      </w:r>
      <w:r>
        <w:rPr>
          <w:rFonts w:ascii="Times New Roman" w:eastAsia="Times New Roman" w:hAnsi="Times New Roman" w:cs="Times New Roman"/>
        </w:rPr>
        <w:t>8.53</w:t>
      </w:r>
      <w:r>
        <w:rPr>
          <w:rFonts w:ascii="SimSun" w:eastAsia="SimSun" w:hAnsi="SimSun" w:cs="SimSun"/>
        </w:rPr>
        <w:t>万人。从投档录取情况看，主要呈现以下几个特点：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一是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本科层次录取形势良好。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今年我省参与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录取的本科高校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所，与上年持平，共录取</w:t>
      </w:r>
      <w:r>
        <w:rPr>
          <w:rFonts w:ascii="Times New Roman" w:eastAsia="Times New Roman" w:hAnsi="Times New Roman" w:cs="Times New Roman"/>
        </w:rPr>
        <w:t>893</w:t>
      </w:r>
      <w:r>
        <w:rPr>
          <w:rFonts w:ascii="SimSun" w:eastAsia="SimSun" w:hAnsi="SimSun" w:cs="SimSun"/>
        </w:rPr>
        <w:t>名考生，比上年增长</w:t>
      </w:r>
      <w:r>
        <w:rPr>
          <w:rFonts w:ascii="Times New Roman" w:eastAsia="Times New Roman" w:hAnsi="Times New Roman" w:cs="Times New Roman"/>
        </w:rPr>
        <w:t>32.3%</w:t>
      </w:r>
      <w:r>
        <w:rPr>
          <w:rFonts w:ascii="SimSun" w:eastAsia="SimSun" w:hAnsi="SimSun" w:cs="SimSun"/>
        </w:rPr>
        <w:t>；其中公办本科高校共录取</w:t>
      </w:r>
      <w:r>
        <w:rPr>
          <w:rFonts w:ascii="Times New Roman" w:eastAsia="Times New Roman" w:hAnsi="Times New Roman" w:cs="Times New Roman"/>
        </w:rPr>
        <w:t>293</w:t>
      </w:r>
      <w:r>
        <w:rPr>
          <w:rFonts w:ascii="SimSun" w:eastAsia="SimSun" w:hAnsi="SimSun" w:cs="SimSun"/>
        </w:rPr>
        <w:t>人，民办本科高校共录取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二是春季高考专科层次考生报考踊跃。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普通类和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专科中职生批次院校专业组满档率均超过</w:t>
      </w:r>
      <w:r>
        <w:rPr>
          <w:rFonts w:ascii="Times New Roman" w:eastAsia="Times New Roman" w:hAnsi="Times New Roman" w:cs="Times New Roman"/>
        </w:rPr>
        <w:t>80%</w:t>
      </w:r>
      <w:r>
        <w:rPr>
          <w:rFonts w:ascii="SimSun" w:eastAsia="SimSun" w:hAnsi="SimSun" w:cs="SimSun"/>
        </w:rPr>
        <w:t>，远高于去年院校专业组满档率。特别是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专科中职生批次，今年不仅增加了近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个计划，达到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万个，而且院校专业组满档率达</w:t>
      </w:r>
      <w:r>
        <w:rPr>
          <w:rFonts w:ascii="Times New Roman" w:eastAsia="Times New Roman" w:hAnsi="Times New Roman" w:cs="Times New Roman"/>
        </w:rPr>
        <w:t>88%</w:t>
      </w:r>
      <w:r>
        <w:rPr>
          <w:rFonts w:ascii="SimSun" w:eastAsia="SimSun" w:hAnsi="SimSun" w:cs="SimSun"/>
        </w:rPr>
        <w:t>，比上年增长</w:t>
      </w:r>
      <w:r>
        <w:rPr>
          <w:rFonts w:ascii="Times New Roman" w:eastAsia="Times New Roman" w:hAnsi="Times New Roman" w:cs="Times New Roman"/>
        </w:rPr>
        <w:t>12%</w:t>
      </w:r>
      <w:r>
        <w:rPr>
          <w:rFonts w:ascii="SimSun" w:eastAsia="SimSun" w:hAnsi="SimSun" w:cs="SimSun"/>
        </w:rPr>
        <w:t>，投档率也超过</w:t>
      </w:r>
      <w:r>
        <w:rPr>
          <w:rFonts w:ascii="Times New Roman" w:eastAsia="Times New Roman" w:hAnsi="Times New Roman" w:cs="Times New Roman"/>
        </w:rPr>
        <w:t>93%</w:t>
      </w:r>
      <w:r>
        <w:rPr>
          <w:rFonts w:ascii="SimSun" w:eastAsia="SimSun" w:hAnsi="SimSun" w:cs="SimSun"/>
        </w:rPr>
        <w:t>，比上年提高</w:t>
      </w:r>
      <w:r>
        <w:rPr>
          <w:rFonts w:ascii="Times New Roman" w:eastAsia="Times New Roman" w:hAnsi="Times New Roman" w:cs="Times New Roman"/>
        </w:rPr>
        <w:t>15%</w:t>
      </w:r>
      <w:r>
        <w:rPr>
          <w:rFonts w:ascii="SimSun" w:eastAsia="SimSun" w:hAnsi="SimSun" w:cs="SimSun"/>
        </w:rPr>
        <w:t>。这不仅说明考生填报志愿更加合理，也进一步体现出我省中职升高职的立交桥进一步搭实，越来越受到中职毕业生和社会的认可。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三是公办高职院校稳居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热门赛道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从专科批次投档情况看，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普通类一次性满档的院校专业组有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个，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专科中职生一次性满档院校专业组有</w:t>
      </w:r>
      <w:r>
        <w:rPr>
          <w:rFonts w:ascii="Times New Roman" w:eastAsia="Times New Roman" w:hAnsi="Times New Roman" w:cs="Times New Roman"/>
        </w:rPr>
        <w:t>267</w:t>
      </w:r>
      <w:r>
        <w:rPr>
          <w:rFonts w:ascii="SimSun" w:eastAsia="SimSun" w:hAnsi="SimSun" w:cs="SimSun"/>
        </w:rPr>
        <w:t>个，均以公办高职院校为主，珠三角地区办学基础较好的院校、老牌优质院校依旧生源充足。如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普通类的深圳职业技术学院、广州番禺职业技术学院、顺德职业技术学院、广东轻工职业技术学院、深圳信息职业技术学院部分院校专业组投档分数线均超过</w:t>
      </w:r>
      <w:r>
        <w:rPr>
          <w:rFonts w:ascii="Times New Roman" w:eastAsia="Times New Roman" w:hAnsi="Times New Roman" w:cs="Times New Roman"/>
        </w:rPr>
        <w:t>370</w:t>
      </w:r>
      <w:r>
        <w:rPr>
          <w:rFonts w:ascii="SimSun" w:eastAsia="SimSun" w:hAnsi="SimSun" w:cs="SimSun"/>
        </w:rPr>
        <w:t>分，分别为</w:t>
      </w:r>
      <w:r>
        <w:rPr>
          <w:rFonts w:ascii="Times New Roman" w:eastAsia="Times New Roman" w:hAnsi="Times New Roman" w:cs="Times New Roman"/>
        </w:rPr>
        <w:t>392</w:t>
      </w:r>
      <w:r>
        <w:rPr>
          <w:rFonts w:ascii="SimSun" w:eastAsia="SimSun" w:hAnsi="SimSun" w:cs="SimSun"/>
        </w:rPr>
        <w:t>分、</w:t>
      </w:r>
      <w:r>
        <w:rPr>
          <w:rFonts w:ascii="Times New Roman" w:eastAsia="Times New Roman" w:hAnsi="Times New Roman" w:cs="Times New Roman"/>
        </w:rPr>
        <w:t>378</w:t>
      </w:r>
      <w:r>
        <w:rPr>
          <w:rFonts w:ascii="SimSun" w:eastAsia="SimSun" w:hAnsi="SimSun" w:cs="SimSun"/>
        </w:rPr>
        <w:t>分、</w:t>
      </w:r>
      <w:r>
        <w:rPr>
          <w:rFonts w:ascii="Times New Roman" w:eastAsia="Times New Roman" w:hAnsi="Times New Roman" w:cs="Times New Roman"/>
        </w:rPr>
        <w:t>377</w:t>
      </w:r>
      <w:r>
        <w:rPr>
          <w:rFonts w:ascii="SimSun" w:eastAsia="SimSun" w:hAnsi="SimSun" w:cs="SimSun"/>
        </w:rPr>
        <w:t>分、</w:t>
      </w:r>
      <w:r>
        <w:rPr>
          <w:rFonts w:ascii="Times New Roman" w:eastAsia="Times New Roman" w:hAnsi="Times New Roman" w:cs="Times New Roman"/>
        </w:rPr>
        <w:t>371</w:t>
      </w:r>
      <w:r>
        <w:rPr>
          <w:rFonts w:ascii="SimSun" w:eastAsia="SimSun" w:hAnsi="SimSun" w:cs="SimSun"/>
        </w:rPr>
        <w:t>分、</w:t>
      </w:r>
      <w:r>
        <w:rPr>
          <w:rFonts w:ascii="Times New Roman" w:eastAsia="Times New Roman" w:hAnsi="Times New Roman" w:cs="Times New Roman"/>
        </w:rPr>
        <w:t>370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专科中职生批次的深圳职业技术学院、广州番禺职业技术学院部分院校专业组投档分数线均超过</w:t>
      </w:r>
      <w:r>
        <w:rPr>
          <w:rFonts w:ascii="Times New Roman" w:eastAsia="Times New Roman" w:hAnsi="Times New Roman" w:cs="Times New Roman"/>
        </w:rPr>
        <w:t>340</w:t>
      </w:r>
      <w:r>
        <w:rPr>
          <w:rFonts w:ascii="SimSun" w:eastAsia="SimSun" w:hAnsi="SimSun" w:cs="SimSun"/>
        </w:rPr>
        <w:t>分，分别为</w:t>
      </w:r>
      <w:r>
        <w:rPr>
          <w:rFonts w:ascii="Times New Roman" w:eastAsia="Times New Roman" w:hAnsi="Times New Roman" w:cs="Times New Roman"/>
        </w:rPr>
        <w:t>380</w:t>
      </w:r>
      <w:r>
        <w:rPr>
          <w:rFonts w:ascii="SimSun" w:eastAsia="SimSun" w:hAnsi="SimSun" w:cs="SimSun"/>
        </w:rPr>
        <w:t>分、</w:t>
      </w:r>
      <w:r>
        <w:rPr>
          <w:rFonts w:ascii="Times New Roman" w:eastAsia="Times New Roman" w:hAnsi="Times New Roman" w:cs="Times New Roman"/>
        </w:rPr>
        <w:t>346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根据录取日程安排，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依学考成绩录取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“3+</w:t>
      </w:r>
      <w:r>
        <w:rPr>
          <w:rFonts w:ascii="SimSun" w:eastAsia="SimSun" w:hAnsi="SimSun" w:cs="SimSun"/>
        </w:rPr>
        <w:t>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专科批次录取将于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日结束，对未完成招生计划的院校专业，省招生办将于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29-30</w:t>
      </w:r>
      <w:r>
        <w:rPr>
          <w:rFonts w:ascii="SimSun" w:eastAsia="SimSun" w:hAnsi="SimSun" w:cs="SimSun"/>
        </w:rPr>
        <w:t>日组织考生进行征集志愿。预计，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30-31</w:t>
      </w:r>
      <w:r>
        <w:rPr>
          <w:rFonts w:ascii="SimSun" w:eastAsia="SimSun" w:hAnsi="SimSun" w:cs="SimSun"/>
        </w:rPr>
        <w:t>日，组织征集志愿投档录取。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广东财经大学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广东科贸职业学院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广东工程职业技术学院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广东理工职业学院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广东舞蹈戏剧职业学院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广东创新科技职业学院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1/0311/18987.html" TargetMode="External" /><Relationship Id="rId11" Type="http://schemas.openxmlformats.org/officeDocument/2006/relationships/hyperlink" Target="http://www.gk114.com/a/gxzs/zszc/guangdong/2021/0311/18985.html" TargetMode="External" /><Relationship Id="rId12" Type="http://schemas.openxmlformats.org/officeDocument/2006/relationships/hyperlink" Target="http://www.gk114.com/a/gxzs/zszc/guangdong/2021/0311/18982.html" TargetMode="External" /><Relationship Id="rId13" Type="http://schemas.openxmlformats.org/officeDocument/2006/relationships/hyperlink" Target="http://www.gk114.com/a/gxzs/zszc/guangdong/2021/0311/18979.html" TargetMode="External" /><Relationship Id="rId14" Type="http://schemas.openxmlformats.org/officeDocument/2006/relationships/hyperlink" Target="http://www.gk114.com/a/gxzs/zszc/guangdong/2021/0311/18978.html" TargetMode="External" /><Relationship Id="rId15" Type="http://schemas.openxmlformats.org/officeDocument/2006/relationships/hyperlink" Target="http://www.gk114.com/a/gxzs/zszc/guangdong/2021/0608/19791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dong/2022/0328/21998.html" TargetMode="External" /><Relationship Id="rId5" Type="http://schemas.openxmlformats.org/officeDocument/2006/relationships/hyperlink" Target="http://www.gk114.com/a/gxzs/zszc/guangdong/2022/0401/22044.html" TargetMode="External" /><Relationship Id="rId6" Type="http://schemas.openxmlformats.org/officeDocument/2006/relationships/hyperlink" Target="http://www.gk114.com/a/gxzs/zszc/guangdong/" TargetMode="External" /><Relationship Id="rId7" Type="http://schemas.openxmlformats.org/officeDocument/2006/relationships/hyperlink" Target="http://www.gk114.com/a/gxzs/zszc/guangdong/2022/0605/22697.html" TargetMode="External" /><Relationship Id="rId8" Type="http://schemas.openxmlformats.org/officeDocument/2006/relationships/hyperlink" Target="http://www.gk114.com/a/gxzs/zszc/guangdong/2022/0220/21759.html" TargetMode="External" /><Relationship Id="rId9" Type="http://schemas.openxmlformats.org/officeDocument/2006/relationships/hyperlink" Target="http://www.gk114.com/a/gxzs/zszc/guangdong/2021/0604/197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