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惠州城市职业学院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学校名称：惠州城市职业学院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学校地址：广东省惠州市惠城区惠南大道明德路</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516025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学校主管单位：惠州市人民政府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惠州城市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我校机电一体化技术专业与广东理工学院机械电子工程专业，物流管理专业与广东工商职业技术大学物流管理专业联合开展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。我校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机电一体化技术专业实验班学生进入对口本科高校试点专业学习两年，符合相关条件和要求的，可获得广东理工学院普通本科毕业证书和学位证书</w:t>
      </w:r>
      <w:r>
        <w:rPr>
          <w:rFonts w:ascii="Times New Roman" w:eastAsia="Times New Roman" w:hAnsi="Times New Roman" w:cs="Times New Roman"/>
        </w:rPr>
        <w:t xml:space="preserve">; </w:t>
      </w:r>
      <w:r>
        <w:rPr>
          <w:rFonts w:ascii="SimSun" w:eastAsia="SimSun" w:hAnsi="SimSun" w:cs="SimSun"/>
        </w:rPr>
        <w:t>通过转段选拔考核合格的物流管理专业实验班学生进入对口本科高校试点专业学习两年，符合相关条件和要求的，可获得广东工商职业技术大学普通本科毕业证书。非实验班学生，不得转入试点专业实验班学习。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门科目的考试，各门考试均须获得等级成绩；且报考我校普通类专业至少须有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本校国际学院的计算机网络技术、电子商务、跨境电子商务、国际经济与贸易专业为学分互认专业，只录取有专业志愿考生。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本校在外省的选科要求，按照公布的选科要求进行，录取原则按照当地公布的方案及有关要求执行。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国家助学贷款、奖学金、助学金等助学措施按照教育部、广东省教育厅和本校相关规定执行。详情请参见我校招生简章。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0752-2829661</w:t>
      </w:r>
      <w:r>
        <w:rPr>
          <w:rFonts w:ascii="SimSun" w:eastAsia="SimSun" w:hAnsi="SimSun" w:cs="SimSun"/>
        </w:rPr>
        <w:t>、</w:t>
      </w:r>
      <w:r>
        <w:rPr>
          <w:rFonts w:ascii="Times New Roman" w:eastAsia="Times New Roman" w:hAnsi="Times New Roman" w:cs="Times New Roman"/>
        </w:rPr>
        <w:t xml:space="preserve">3619501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0752-2807650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2491223368@qq.com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http://www.hzc.edu.cn/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http://www.hzc.edu.cn/zsjy.htm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人：陈志旭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0752-2829862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0752-2807650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hzcjjjcs@126.com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本章程由惠州城市职业学院惠州城市职业学院招生办公室解释。本章程若与国家和各省（区、市）的规定不一致，则以国家和各省（区、市）的规定为准。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广东茂名幼儿师范专科学校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广东生态工程职业学院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55.html" TargetMode="External" /><Relationship Id="rId5" Type="http://schemas.openxmlformats.org/officeDocument/2006/relationships/hyperlink" Target="http://www.gk114.com/a/gxzs/zszc/guangdong/2021/0311/1895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