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扎兰屯职业学院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学院简介</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扎兰屯职业学院是经内蒙古自治区人民政府批准，教育部核准备案，由原扎兰屯幼儿师范学校、扎兰屯林业学校、扎兰屯农牧学校和呼伦贝尔市卫生学校整合组建的一所公办全日制普通高等院校。</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院坐落于“塞外苏杭”－－扎兰屯市。这里呼伦贝尔草原与大兴安岭森林环抱，自然风光旖旎，人文底蕴深厚，交通便捷，产业集聚，是中国优秀旅游城市、第十四届全国冬运会举办地之一。学院设有吊桥、秀水、雅鲁三个校区，校园树影婆娑，鸟语花香，碧瓦朱檐的古韵建筑清秀典雅，独具匠心的现代建筑尽显大方，是读书治学的理想园地，是修德成才的神圣殿堂。</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学院新校区建设项目占地57.34公顷，新建18栋单体建筑9月份交付使用，办学条件将得到全面改善。</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院以习近平新时代中国特色社会主义思想为指导，坚持党的全面领导，坚持社会主义办学方向，坚持立德树人根本任务，服务经济社会发展。坚持德技并修、工学结合，深化产教融合、校企合作。坚持以学生为本和以教学为中心，持续推进育人方式、办学模式、管理体制、保障机制改革，努力建设高水平专业，培养高素质技术技能人才。坚持“精优特”发展之路，提质培优，赋能增效，增强职业教育适应性，推动高质量发展，努力实现“建设区域性高水平职业院校”的目标。</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院设有农林牧渔、教育与体育、医药卫生、财经商贸、电子信息、旅游、汽车制造等7个专业大类，含绿色食品生产技术、大数据与会计、旅游管理、护理、药学、临床医学、医学检验技术、口腔医学技术、计算机应用技术、计算机网络技术、畜牧兽医、动物医学、早期教育、学前教育、小学语文教育、小学教育、林业技术、园林技术、汽车制造与试验技术、新能源汽车技术等20个三年制高职专业、10个五年制高职专业、11个中职专业，现有各级各类在校生6277人。</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院立足新发展阶段，贯彻新发展理念，融入新发展格局，以高水平高等职业学校和专业建设为引领，推动“三教”改革和“岗课赛证”融通。坚持工学结合、知行合一，加强学生认知能力、合作能力、创新能力和职业能力培养。培育和传承工匠精神，引导学生养成严谨专注、敬业专业、精益求精和追求卓越的品质，让每个学子都有人生出彩的机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生可通过专升本考试进入内蒙古农业大学、内蒙古民族大学、呼伦贝尔学院、集宁师范学院继续学习深造，获取全日制本科学历。对响应国家号召应征入伍退役的毕业生，可免试入读区内普通专升本专业或成人专升本专业，相关政策按内蒙古自治区教育厅、征兵办公室《关于进一步做好高校学生参军入伍工作的通知》内教办函【2021】51号文件执行。</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学生管理从大处着眼、细处入手，强化“一日常规”，坚持“五育并举”，严抓日常管理、学风建设，重视学生社团活动和文化艺术节、创新创业大赛，打造“立德树人”品牌。</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报名方式</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报考高职专科考试的考生，  按要求在规定时间内完成普通高考报名后，可通过以下两种方式报考我院。</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(一)参加普通高考</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参加全国普通高考，在规定时间内，统一报名，统一考试，填报志愿，统一录取。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(二)单独考试招生</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1.报名方式:</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首先取得全国普通高考报名资格后，在规定时间内，在内蒙古招生考试信息网上填报我院志愿信息,具体时间以内蒙古招生考试中心公布的时间为准。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2.注意事项：</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报考扎兰屯职业学院单独考试招生的考生，在报名期间应及时与我院保持联系并关注学院官网以便顺利报考。如果单独考试招生没被录取，考生可再参加当年的普通高考。</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联系方式</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1.招生办公室：0470-3179888    0470-3256960 </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                          13134913066    13664707859    13134965432</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2.学院网址：http://www.zltzyxy.com</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3.学院地址：内蒙古扎兰屯市绿林街1号</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“奖贷扶”政策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学生资助政策体系，从制度上保障不让一个学生因家庭经济困难而失学。</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录取到我院的学生可以享受以下资助政策：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高职教育国家资助政策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1.国家奖学金，每生每年8000元                 2.国家励志奖学金，每生每年5000元</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3.国家助学金，每生每年平均3000元          4.应征入伍服义务兵役国家资助</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5.退役士兵入学资助政策                              6.生源地信用助学贷款</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7.绿色通道                                                  8.勤工助学</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1—3项按政策评审发放</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退役士兵教育资助政策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对退役一年以上考入全日制普通高等学校的自主就业退役士兵，减免学费。</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内蒙古自治区普通高校家庭经济困难学生入学资助政策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资助对象</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经教育招生考试部门正式录取到普通高校的新生且录取当年9月1日前为自治区城乡低保家庭子女、建档立卡贫困家庭子女、孤儿。</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资助标准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录取到普通高校专科或高职高专类且符合上述条件的学生，录取当年开始资助，每学年资助10000元，累计不超过30000元。</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注：同时具备低保、建档立卡、孤儿等条件的学生不重复享受资助政策。</w:t>
      </w:r>
    </w:p>
    <w:p>
      <w:pPr>
        <w:pBdr>
          <w:top w:val="none" w:sz="0" w:space="0" w:color="auto"/>
          <w:left w:val="none" w:sz="0" w:space="0" w:color="auto"/>
          <w:bottom w:val="none" w:sz="0" w:space="0" w:color="auto"/>
          <w:right w:val="none" w:sz="0" w:space="0" w:color="auto"/>
        </w:pBdr>
        <w:spacing w:before="0" w:after="150" w:line="390" w:lineRule="atLeast"/>
        <w:ind w:left="0" w:right="0" w:firstLine="0"/>
        <w:jc w:val="center"/>
        <w:rPr>
          <w:rFonts w:ascii="Microsoft YaHei" w:eastAsia="Microsoft YaHei" w:hAnsi="Microsoft YaHei" w:cs="Microsoft YaHei"/>
          <w:color w:val="333333"/>
          <w:sz w:val="27"/>
          <w:szCs w:val="27"/>
        </w:rPr>
      </w:pPr>
      <w:r>
        <w:rPr>
          <w:rFonts w:ascii="Microsoft YaHei" w:eastAsia="Microsoft YaHei" w:hAnsi="Microsoft YaHei" w:cs="Microsoft YaHei"/>
          <w:strike w:val="0"/>
          <w:color w:val="333333"/>
          <w:sz w:val="27"/>
          <w:szCs w:val="27"/>
          <w:u w:val="none"/>
          <w:bdr w:val="none" w:sz="0" w:space="0" w:color="auto"/>
        </w:rPr>
        <w:drawing>
          <wp:inline>
            <wp:extent cx="11144250" cy="15944850"/>
            <wp:docPr id="100001" name="" descr="060909514694_021招生简章(2)_4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1144250" cy="159448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50" w:line="390" w:lineRule="atLeast"/>
        <w:ind w:left="0" w:right="0" w:firstLine="0"/>
        <w:jc w:val="center"/>
        <w:rPr>
          <w:rFonts w:ascii="Microsoft YaHei" w:eastAsia="Microsoft YaHei" w:hAnsi="Microsoft YaHei" w:cs="Microsoft YaHei"/>
          <w:color w:val="333333"/>
          <w:sz w:val="27"/>
          <w:szCs w:val="27"/>
        </w:rPr>
      </w:pPr>
      <w:r>
        <w:rPr>
          <w:rFonts w:ascii="Microsoft YaHei" w:eastAsia="Microsoft YaHei" w:hAnsi="Microsoft YaHei" w:cs="Microsoft YaHei"/>
          <w:strike w:val="0"/>
          <w:color w:val="333333"/>
          <w:sz w:val="27"/>
          <w:szCs w:val="27"/>
          <w:u w:val="none"/>
          <w:bdr w:val="none" w:sz="0" w:space="0" w:color="auto"/>
        </w:rPr>
        <w:drawing>
          <wp:inline>
            <wp:extent cx="11144250" cy="15763875"/>
            <wp:docPr id="100003" name="" descr="060909514694_0211招生简章(2)_4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11144250" cy="1576387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50" w:line="390" w:lineRule="atLeast"/>
        <w:ind w:left="0" w:right="0" w:firstLine="0"/>
        <w:jc w:val="center"/>
        <w:rPr>
          <w:rFonts w:ascii="Microsoft YaHei" w:eastAsia="Microsoft YaHei" w:hAnsi="Microsoft YaHei" w:cs="Microsoft YaHei"/>
          <w:color w:val="333333"/>
          <w:sz w:val="27"/>
          <w:szCs w:val="27"/>
        </w:rPr>
      </w:pPr>
      <w:r>
        <w:rPr>
          <w:rFonts w:ascii="Microsoft YaHei" w:eastAsia="Microsoft YaHei" w:hAnsi="Microsoft YaHei" w:cs="Microsoft YaHei"/>
          <w:strike w:val="0"/>
          <w:color w:val="333333"/>
          <w:sz w:val="27"/>
          <w:szCs w:val="27"/>
          <w:u w:val="none"/>
          <w:bdr w:val="none" w:sz="0" w:space="0" w:color="auto"/>
        </w:rPr>
        <w:drawing>
          <wp:inline>
            <wp:extent cx="11144250" cy="15382875"/>
            <wp:docPr id="100005" name="" descr="060909514694_021招生简章11(2)_5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4"/>
                    <a:stretch>
                      <a:fillRect/>
                    </a:stretch>
                  </pic:blipFill>
                  <pic:spPr>
                    <a:xfrm>
                      <a:off x="0" y="0"/>
                      <a:ext cx="11144250" cy="1538287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教育科学系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高职专科开设学前教育、小学语文教育、小学教育、早期教育4个专业，均为国控专业。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教育科学系是我院办学规模最大的教学系部之一。拥有教授、副教授、讲师等48人组成的专兼结合的“双师”结构教学团队。</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目前，教育科学系共建有内蒙古自治区幼儿教师培训中心1处、校内外实习实训基地120余个，每年安排顶岗实习的学生超过200人次，为学生职业能力提升奠定了良好的基础；学生积极参加各级各类专业技能竞赛，连续三年获得内蒙古自治区高等职业院校学前教育专业教育技能大赛一等奖，两次代表自治区参加国赛获得三等奖。丰富的第二课堂活动，为学生提升专业技能和职业素养搭建了平台，毕业生就业率稳定在98%以上，受到用人单位普遍好评。</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北京、呼和浩特及呼伦贝尔周边地区幼儿园。北京万裕伯丁教育科技有限责任公司、呼和浩特阳光巴学园等。小学教育专业、小学语文教育专业学生在内蒙古自治区各地的小学、社会教育机构、培训机构实习就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早期教育</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思想政治坚定、德技并修、全面发展，适应早期儿童教育以及社区和家庭教育需要，具有良好师德与科学人文素质，掌握系统的早期教育理论、科学的婴幼儿养护等知识和技术技能，面向托幼机构、早教机构、社区、家庭教育咨询机构等相关服务部门，从事婴幼儿保育和教育、早期教育行政管理、家庭教育咨询与指导等工作领域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核心课程:婴幼儿营养与喂养、婴幼儿家庭教育与指导、早期教育课程与活动设计、婴幼儿发展与评价、婴幼儿社会发展与教育、婴幼儿抚触与按摩。</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就业方向：幼儿教育教师、婴幼儿发展引导员、育婴员、保育员。</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学前教育</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有理想信念、有道德情操、有扎实学识、有仁爱之心,具有良好的人文素养和创新意识，精益求精的工匠精神，较强的就业能力和可持续发展能力;掌握学前教育专业知识，具备较强的保教能力，面向教育行业，能够从事学前教育工作的教师。</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核心课程：学前儿童游戏、幼儿健康教育与活动指导、幼儿语言教育与活动指导、幼儿科学教育与活动指导、幼儿社会教育与活动指导、幼儿艺术教育与活动指导、幼儿园教育环境创设、幼儿园班级管理。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就业方向：幼儿园教师。</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小学教育</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基础教育改革与发展，具有良好职业道德和人文素养，掌握小学素质教育的基础理论知识和技能，面向小学教育、小学教育研究机构及社会教育培训机构等行业领域的高素质劳动者和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核心课程：现代汉语基础、基础写作、小学语文课程与教学论、小学数学课程与教学论、小学班级管理、德育与班主任工作。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就业方向：小学教师、教育管理工作者、教育行政部门工作者、社会教育、培训机构教育。</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小学语文教育</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现代社会发展需要，具有创新意识和秘书专业基础素质，掌握汉语言文学基本知识理论和专业基本技能，面向中小学、企事业单位、国家机关，从事教育、公关、秘书、文化、宣传等方面实际工作领域的高素质劳动者和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核心课程：中国古代文学、现代汉语、中国现当代文学、古代汉语、外国文学、语文课程与教学论。</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就业方向：小学语文教师、小学教学和管理工作。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医学系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高职专科开设临床医学、药学、医学检验技术、口腔医学技术等专业。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医学系有着深厚的历史基础和雄厚的师资力量。新校区设有生命与健康科学馆、全国医师资格和护士资格考试技能操作标准化考站、社区急救实训室、心肺仿真检查室、模拟手术室、ICU病房等58个实验实训室。与内蒙古自治区人民医院、呼和浩特市第一医院、包头医学院第一附属医院等30家医院有着长期稳定的实习就业合作关系；其中扎兰屯市人民医院是学院附属医院。我系毕业生供不应求，历年就业率保持在99%以上。</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内蒙古自治区人民医院、包头医学院第一附属医院、齐齐哈尔第一人民医院、内蒙古民族大学附属医院、赤峰医学院附属医院、扎兰屯市人民医院等。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临床医学</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我国医疗卫生事业现代化发展，具有一定的科学文化水平，良好的人文素养、职业道德和创新意识，精益求精的工匠精神，较强的就业能力和可持续发展能力；掌握本专业知识和技术技能，面向医疗卫生行业的全科医师、乡村医生等职业群，能够从事居民基本医疗和基本公共卫生服务等工作的高素质实用型医学专门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核心课程：诊断学、内科学、外科学、妇科学、儿科学、急诊医学、预防医学、全科医生导论。</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就业方向：各大医院、医疗单位内外科及全科医生。</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药  学</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我国医药卫生事业现代化发展，具有一定的科学文化水平，良好的人文素养、职业道德和创新意识，精益求精的工匠精神，较强的就业能力和可持续发展能力；掌握本专业知识和技术技能，面向医药卫生行业的药师、制药工程技术人员、医药商品购销员等职业群，能够从事药品调剂、静脉药物配置、库房管理、用药指导、药品零售、制剂生产、药品质量检验与管理等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核心课程：天然药物学、天然药物化学、药物化学、药物分析、药剂学、临床医学概要、临床药物治疗。</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就业方向：各类医院 、各类医药企业以及各类实验室等。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医学检验技术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适应我国医疗卫生事业现代化发展，德智体美劳全面发展，具有一定的科学文化水平，良好的人文素养、职业道德和创新意识，精益求精的工匠精神，较强的就业能力和可持续发展能力；掌握医学检验和临床医学的基本知识，面向医疗卫生行业临床检验技师、输血技师、病理技师等职业群，能够从事临床医学检验、输（采、供）血、病理技术等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核心课程：临床检验基础、临床医学概论、微生物检验、免疫学检验、寄生虫检验、血液学检验、生物化学检验、分子生物学。</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就业方向：各类医院的医学检验科 ，各类化学实验室等 。</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口腔医学技术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思想政治坚定、德技并修、全面发展，适应医学口腔行业需要，具有良好的职业道德，掌握口腔医学技术专业的基本理论和专业技能，面向口腔修复制作行业、各级义齿加工企业、口腔技工室、口腔医疗相关机构等领域从事口腔修复体制作、口腔常见病和多发病的辅助治疗、技术管理与服务等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专业核心课程：口腔解剖生理学、口腔材料学基础、口腔内科学、口腔颌面外科学、口腔修复学、口腔预防保健学、牙体雕刻技术、可摘局部义齿制作、全口义齿制作、 口腔固定修复体制作、口腔正畸工艺技术等。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就业方向：主要面向各级口腔医疗机构、口腔修复制作行业、各级义齿加工企业等口腔医疗相关机构，从事口腔常见病和多发病的辅助治疗、口腔修复体制作、技术管理与服务等工作。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护理系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护理系培养适应卫生保健服务发展需要的具有扎实的医学基本理论、知识和技能，较高的综合素质、较强的实践能力以及一定的教学和科研能力的临床护理骨干、护理师和护理管理的护理人才。现已形成一支结构合理、能力突出、富于活力的师资队伍，建成一批设备先进、配套齐全、功能完善的教学科研平台，整体办学实力和水平迈上新台阶。</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经过多年的实践和探索，护理系人才培养质量显著提高，获得社会和用人单位广泛好评，学生的一次就业率始终保持在90%以上。</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护 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我国医疗卫生事业现代化发展，具有一定的科学文化水平，良好的人文素养、职业道德和创新意识，精益求精的工匠精神，较强的就业能力和可持续发展能力；掌握本专业知识和技术技能，面向医疗卫生行业的内科、儿科、急诊、外科、社区等护理岗位，能够从事临床护理、社区护理、健康保健等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核心课程：护理学基础、健康评估、内科护理学、外科护理学、妇科护理学、儿科护理学、急危重症护理、中医护理。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就业方向：各医院和医疗单位的护理基础工作。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畜牧兽医系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高职开设畜牧兽医、动物医学（宠物医学方向）专业。畜牧兽医专业是自治区首批精品专业。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畜牧兽医系采用汉语及蒙汉双语教学，践行“校中场，场中校”和“做中学，学中做”的现代职业教育模式，实施理实一体化教学。学生入学第三年，根据专业爱好和就业愿望，在养殖场或动物医院进行专业课教学与实训，将岗前培训前置，实现理论教学、认知实习、跟岗实习、顶岗实习、上岗工作有机衔接。</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新校区建有与专业岗位技能配套的18个实习实训室及全科动物医院，配备先进的现代化仿真教学设备，同时与国内大型牧场、知名动物医院建立长期稳定的校企合作关系，真正实现了产教融合、知行合一、校企共育。学生毕业前可考取国家职业资格证书，持证上岗。学生就业稳定率高，薪酬可观。</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新希望六和股份有限公司、内蒙古正大集团、永星动物医疗人才培训有限公司联盟、大连恩和动物医院、科尔泌右翼前旗德康农牧有限公司等。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畜牧兽医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有较强敬业精神、奉献精神和创新精神，熟练掌握畜禽健康养殖与疾病防治核心知识技能，具有较好的创业品质、创新精神及可持续发展能力，能够承担畜禽养殖技术指导与服务、饲料配方设计与营销策划、动物疾病防治与指导、动物防疫与检疫、企业经营与管理工作的高素质劳动者和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核心课程:禽病防治、猪病防治、牛羊病防治、牛生产、猪生产、羊生产、禽生产。</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就业方向：畜禽养殖企业、饲料加工与销售企业、兽药生产与营销企业、动物卫生监督与疫病诊疗监测机构、动物医院、基层畜牧兽医服务机构等。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动物医学（宠物医学方向）</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培养理想信念坚定，德智体美劳全面发展，具备动物医学方面的基本理论、基本知识和基本技能的高素质应用型人才。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核心课程：宠物外科与产科、宠物美容与护理、宠物寄生虫病、中兽医基础、宠物临床诊疗技术、宠物内科、小动物影像学。</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宠物行业、宠物医疗与保健领域从事犬、猫等宠物的驯养繁育、疾病预防与诊疗、医疗与保健，宠物食品生产销售、美容与护理、宠物营销、宠物医疗器械的生产销售，动物医院的经营管理、宠物用品生产、研究开发和服务；兽医业务部门、动物生产单位及有关部门从事兽医、动物防疫检疫、动物产品安全、环境与动物保护等方面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农林工程系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农业类专业立足专业优势，结合区内经济发展社会需求，致力于服务乡村振兴计划，培养绿色食品生产、加工及检验方面的高素质技术技能人才。毕业生主要在天津伊利乳品有限责任公司、中粮（丰通）北京食品有限公司等工作，就业率93.5％以上。</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师资力量雄厚，科研实力强劲，现有专兼职教师22人，其中教授1人，副教授2人，硕士学位研究生11人，副高级职称12人，“双师型”教师12人，全国农业职业教育教学名师1人，自治区级学科带头人1人、呼伦贝尔市高层次牧草创新科研团队1个。</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林业类高职专科开设林业技术、园林技术2个专业，其中林业技术专业为自治区精品专业。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现有专兼职教师37人，其中教授1人，副教授3人，副高级职称17人，“双师型”教师34人，国家级骨干教师8人、自治区级骨干教师4人，自治区级学科带头人2人、自治区级优秀教师2人，呼伦贝尔市名师2人。</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立足专业优势，积极促进产学研一体化，与北京花香果木集团、呼伦贝尔市林业六局等14家企事业单位开展校企合作，强化岗位职业技能训练，形成了“入学即就业”的人才培养模式。毕业学生参与北京世博园绿化工程、中非合作论坛场景布置、天安门广场及长安街国庆景观建设等园林园艺项目，受到用人单位一致好评。</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实习就业单位（农业类）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中粮（丰通）北京食品有限公司、满洲里万康绿色生态技术开发有限责任公司、东北林蛙生态研究所、呼伦贝尔东北阜丰生物科技有限公司、呼伦贝尔吴昊生物科技有限公司、扎兰屯龙翔现代农业科技发展有限公司、呼伦贝尔金沃工贸有限责任公司、扎兰屯市惠农农业生产资料有限公司。</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实习就业单位（林业类）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北京花乡花木集团有限公司、北京市花木有限公司、北京市北郎中花木中心等知名企业以及呼伦贝尔市林业六局开展了校企合作，建立了学生顶岗实习基地，为学生顶岗实习与就业奠定基础。</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绿色食品生产技术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具有一定的科学文化水平，良好的人文素养、职业道德和创新意识，精益求精的工匠精神，较强的就业能力和可持续发展能力；掌握绿色食品生产、食品加工、检验、质量管理等方面的知识和技术技能，面向农场技术服务、食品加工和农产品食品检验领域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核心课程：绿色蔬菜标准化生产、果蔬贮藏与加工质量监控、粮油加工与质量监控、农产品营养物质分析、农产品有害物质检验。</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本专业毕业生面向区内外安全农产品种植生产基地、农工贸企业集团和绿色农产品技术服务组织就业，从事粮食生产、绿色农产品生产过程中的技术服务，绿色农产品加工企业、农产品质量检验等方面的技术监控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主要工作岗位:省、市、县农技推广部门、环境保护部门、执法管理部门、技术监督、卫生防疫部门技术工作；农产品质量检测中心、大型农牧场、农产品、质量认证及企业品控、质检、贮藏保鲜、仓储、内审等工作；绿色农产品生产基地创立、新农村科技自主创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林业技术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具有一定的科学文化水平，良好的人文素养、职业道德和创新意识，精益求精的工匠精神，较强的就业能力和可持续发展的能力；掌握本专业知识和技术技能，面向林业行业的护林员、森林培育工程技术人员、森林采伐和运输工程技术人员、林业资源调查与监测工程技术人员、森林资源评估专业人员能够从事苗木生产、造林工程、林业规划设计、森林资产评估、森林资源监测、林业生态工程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核心课程：林木种苗生产技术、森林营造技术、森林资源管理、林业有害生物防治技术、森林经营。</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就业方向:本专业毕业生主要面向林业企事业单位、国营林场、林业局、乡镇林工站等部门的一线工作岗位。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园林技术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具有一定的科学文化水平，良好的人文素养、职业道德和创新意识，精益求精的工匠精神，较强的就业能力和可持续发展的能力；掌握本专业知识和技术技能，面向林业专业及辅助性活动的园林绿化工程技术人员、园林植物保护工程技术人员等职业群，能够从事植物生产与养护、园林工程施工及管理、园林设计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 园林苗木生产与经营、园林植物栽培与养护、园林植物景观设计、园林工程施工与管理。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就业方向:本专业毕业生主要面向各类园林绿化企业、城市公园、园林苗圃等领域，从事园林苗木生产、园林植物栽培与养护、园林植物景观设计与园林工程施工与管理等工作。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经济管理系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高职专科开设大数据与会计、旅游管理两个专业。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经济管理系认真贯彻习近平总书记对职业教育工作重要指示精神，坚持立德树人根本任务，注重学生全面发展，增强职业教育适应性，培养更多高素质技术技能人才。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生在各类创新创业大赛和专业技能大赛中成绩显著（获全国“挑战杯”大学生创新创业大赛三等奖1项，内蒙古自治区“挑战杯－学术科技作品及创新创业大赛”特等奖1项、一等奖3项、二等奖2项、三等奖若干项，内蒙古自治区旅游专业技能比赛三等奖1项）。</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北京友谊宾馆、呼和浩特市新城宾馆、呼伦贝尔市宾馆、呼伦贝尔市长征饮品有限责任公司、扎兰屯市万游假期旅行社等。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大数据与会计</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具有一定的科学文化水平，良好的人文素养、职业道德和创新意识，精益求精的工匠精神，较强的就业能力和可持续发展能力；掌握本专业知识和技术技能，面向商务服务业的各类中小微型企业和非营利组织的会计专业人员职业群，能够从事会计核算、会计监督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核心课程：财务会计、成本会计实务、税费计算与申报、会计软件应用、财务管理实务、政府会计制度、会计综合实训。毕业生可考取初、中级会计师。</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就业方向:企事业单位、公司、中小企业及各种经济管理机构从事财务管理、会计等工作。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主要工作岗位:企事业单位的出纳、往来核算、资金核算、财产物资核算、薪酬核算、成本核算、税务申报等会计岗位。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旅游管理</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当代旅游服务和管理的需要，具有较强的专业素质，掌握专业基本理论、基础知识和独立工作能力，面向旅行社和酒店各类管理、服务工作领域的高素质劳动者和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核心课程：旅游社运行实务、旅游景区服务与管理、餐厅服务知识与技能、前厅服务知识与技能、导游业务与实训、客房服务知识与技能。</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就业方向：酒店、旅游景区、旅行社以及旅游行政部门等单位。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信息工程系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信息工程系专注于学生未来工作岗位需求，应用工作过程系统化教学理念，进行理实一体化教学，注重学生实践能力培养。师资力量雄厚，主持国家级、自治区级重点课题3项，自主开发和主、参编教材14部，指导学生在自治区技能大赛中多次获得奖项，在全区大学生创新创业大赛中荣获二等奖。</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利用先进设计理念建设的校内实训基地可为学生提供专业化的教学服务；与华为、锐捷网络、创维集团、紫光物联等多家知名企业深度合作，实施“校中厂”、“厂中校”和“订单班”等多种人才培养模式。</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学生在校期间能带薪实习或创业，毕业后可参加专升本考试、应征入伍、考取事业编制、参加“大学生志愿服务西部计划”，也可到北京、天津、大连等地高新技术企业就业，毕业生供不应求。</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南京创维集团平面显示有限公司、上海昌硕集团、青岛三石有限责任公司、天津亿兆集团、华硕电脑股份有限公司、大庆京北方集团、内蒙古盛世嘉业科贸有限公司等。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计算机应用技术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适应当代信息化建设需要，具有创新精神和较强实践能力，掌握计算机调试与维护、网络组建、网站建设技术，面向企事业单位及相关部门，从事计算机控制技术的软件编程及相关电子设备硬件维护工作领域的高素质劳动者和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核心课程：Windows操作系统、办公自动化、组装与维护、网络综合布线、RCNA认证、Windows服务器配置与应用、Java程序设计、AutoCAD（室内设计）、电子电工基础（电工技术）、动态网页设计与制作。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面向企事业单位计算机应用技术岗位群，从事计算机操作维护，计算机局域网的设计、安装、调试；计算机网络通信产品的系统集成；广域网的管理、维护；网络管理信息系统的设计、开发及应用、网站设计与开发等工作。可在软件园、高新技术园区、各大电脑公司、网络公司、网站、高新技术企业、公司、企事业单位和信息部门中从事网络管理、网站维护、网页设计与创意和电子商务等工作。</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计算机网络技术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理想信念坚定，德智体美劳全面发展，具有一定的科学文化水平，良好的人文素养、职业道德和创新意识，精益求精的工匠精神，较强的就业能力和可持续发展能力；掌握本专业知识和技术技能，面向互联网和相关服务、软件和信息技术服务业等行业的信息和通信工程技术人员、信息通信网络维护人员、信息通信网络运行管理人员等职业群，能够从事网络售前技术支持、网络应用开发、网络系统运维、网络系统集成等工作的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核心课程：Windows操作系统、办公自动化、组装与维护、安全防范系统、服务器配置与应用、计算机网络技术与应用 网络综合布线、电子电工基础（电工技术）、无线通信技术 智能家居设备应用、专业美术（色彩、构图）</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就业方向：智能产品生产与经营企业、智能家居服务企业、智能社区和物业管理部门、计算机设备销售公司、电子商务企业、其他企业事业单位。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汽车工程系</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高职开设汽车制造与试验技术、新能源汽车技术两个专业。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全系教职工25人，有专业教师21人，其中高级职称4人，“双师型”教师16人。</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拥有7000余平方米的实训场地、价值1800余万元的实习实训设备和教学严谨、德技双馨的教师队伍。积极进行教学改革，引进教学新思想，探索教学新方法，推行“理虚实一体化”教学。2020年获得全国职业院校技能大赛教学能力比赛交通运输类二等奖、内蒙古自治区职业院校技能大赛教学能力比赛二等奖、呼伦贝尔市职业院校技能大赛教学能力比赛一等奖等荣誉。</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实习就业单位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与北京福田戴姆勒汽车股份有限公司、长城汽车股份有限公司、天津银隆新能源有限公司、庞大集团及区内外汽车服务企业（4S店）签订校企合作协议，学生在这些企业实习并就业。学生实习期间有稳定的工资收入，毕业后与企业签订劳动合同，成为企业正式员工。毕业生就业率连续两年达到100%。毕业生也可通过“专升本”考试升入本科院校继续学习。</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汽车制造与试验技术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德智体美劳全面发展，能适应社会主义现代化建设和现代汽车行业发展需要，重点面向现代汽车制造业和汽车后市场的汽车制造、装配、调试、新车检验、机电维修、汽车检测和维修服务顾问等工作岗位，具有良好的职业道德和团队精神，掌握扎实的现代汽车理论知识，能运用汽车制造和检测设备对汽车进行制造、装配、检测、故障诊断和维修，具有较强实际动手能力、拓展能力、创新意识和工匠精神的高素质技术技能型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核心课程：汽车电器设备构造与检修、汽车底盘电子控制技术、汽车检测与诊断技术、汽车维护作业、汽车发动机电子控制技术、汽车空调构造与检修。</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就业方向：汽车制造、汽车检测与维修、汽车营销和服务等企业的相关工作岗位。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新能源汽车技术</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养德智体美劳全面发展，能适应社会主义现代化建设和现代汽车行业发展需要，具有一定的科学文化水平，良好的人文素养、职业道德和创新意识，精益求精的工匠精神，较强的就业能力和可持续发展能力，掌握本专业知识和技能，面向新能源汽车整车及关键零部件生产及售后技术服务行业，能够从事新能源汽车整车及关键零部件性能检测、质量检测、技术开发、技术应用以及售后服务等工作的复合式创新型高素质技术技能人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核心课程：新能源汽车维护与故障诊断技术、汽车保养与维护、新能源汽车结构与维修、新能源汽车电机及控制技术、动力电池及能量管理技术、汽车安全和舒适系统检修。</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就业方向：新能源汽车研发制造、新能源汽车检测与维修、新能源汽车营销和服务等企业的相关工作岗位。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公共基础部</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公共基础部承担全校公共基础课的教学与管理，下设文科、数学、英语、体育、理科五个教研室。自成立以来，坚持为国育人、为党育才，立足学生综合素质培养，大力推进有效课堂建设，助力培养德技双修的职业人才。目前有专兼任教师129人(教授2人，副高、副教授57人，硕士学位53人）；自治区学科带头人、教学能手各2人，自治区教学名师工作室1个，省级以上普通话测试员13人。部门教师在2017—2021年获得区级教学能力比赛一等奖2个、二等奖5个；指导的学生获得区级学生技能大赛一等奖及其他奖项多个。</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马列主义理论教研部</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马列主理论教研部面向全院学生开设《马克思主义基本原理概论》公共课程，并承担学院思想政治教育职业本科、专科的相关专业课。</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教研部探索构建以思政课教师为主导，以学生为主体的校内校外、课内课外、线上线上的大思政立体化育人体系，强化“三全育人”实效。积极开展集乡村支教、党建调研与精准扶贫为一体的多功能实践教学活动，力图突破实践教学单一维度，多维扩展实践教学功能，实现思政小课堂同社会大课堂的有机结合。</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在加强思想政治理论课建设的同时,着力提升自身的社会影响力，积极参与决策咨询和理论宣讲，自觉承担起“举旗帜、聚民心、育新人、兴文化、展形象”的时代任务，发挥马列主义理论教研成果示范效应。</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继续教育处</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承担成人学历教育、各级各类社会培训、职业技能鉴定、对外合作交流等职责。</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开设专科成人函授教育高升专专业12个，专升本专业47个。每年8月底开始报名。</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与东北农业大学联合办学，开设高升专专业3个、高起本专业4个、专升本专业16个。春秋两季报名，春季截至2月末，秋季截至8月末。</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以上学历教育涵盖了理、工、文、法等多个学科。</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被命名国家级科技特派员创业培训基地、自治区专业技术人员继续教育基地、自治区高技能人才培训基地、自治区幼儿教师培训中心等，承担全区及呼伦贝尔各级各类培训任务，包括农、牧、林、汽修、财经、学前教育等专业，直接为地方社会经济发展服务，助力乡村振兴。</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设有农业部特有工种职业技能鉴定站、国家职业技能鉴定所，可进行家畜繁殖员、焊接工等专业的职业技能鉴定。</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具备招收国际学生资格（内教外函[232]号） 。</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联系电话</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成人函授：刘老师  0470－3179048  18047007864 </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网络教育：王老师  0470－3179048  15104942611</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培训及技能鉴定：李老师  0470－3179047  15048068185</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b/>
          <w:bCs/>
          <w:color w:val="333333"/>
          <w:sz w:val="27"/>
          <w:szCs w:val="27"/>
        </w:rPr>
        <w:t>青春赞歌</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强化引领  固青年新思想</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注重青年思想政治引领，坚持用习近平新时代中国特色社会主义思想武装学生。持续巩固“青年大学习””身边的榜样”“绽放战役青春·坚定制度自信”“学习热议重要讲话精神”等主题教育成果，找准共青团在“大思政”格局中的定位，牢固树立中华民族共同体意识教育。强化全院图属宣传阵地建设，开展院系级青马班培训，着力培养党的助手和后备军。</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悦动校园  建校园新文明</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学院团委以校园文化建设为青年学生筑梦，优化育人环境，彰显青春正能量。在校园文化艺术节、“三走”系列活动、各类文化赛事中展示文明与风采。</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创新创业  创青春新篇章</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注重学生创新创业能力培养，积极组织学生参加各级创新创业大赛。学院师生参与“创青春”大学生创业大赛、“挑战杯”大学生课外学术作品竞赛、“挑战杯—彩虹人生”全国职业学校创新创效创业大赛、“互联网+”大学生创业大赛等全国、全区赛事，并取得优异成绩。</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青春志愿  展时代新担当</w:t>
      </w:r>
    </w:p>
    <w:p>
      <w:pPr>
        <w:pBdr>
          <w:top w:val="none" w:sz="0" w:space="0" w:color="auto"/>
          <w:left w:val="none" w:sz="0" w:space="0" w:color="auto"/>
          <w:bottom w:val="none" w:sz="0" w:space="0" w:color="auto"/>
          <w:right w:val="none" w:sz="0" w:space="0" w:color="auto"/>
        </w:pBdr>
        <w:spacing w:before="0" w:after="150" w:line="390" w:lineRule="atLeast"/>
        <w:ind w:left="0" w:right="0" w:firstLine="540"/>
        <w:jc w:val="both"/>
        <w:rPr>
          <w:rFonts w:ascii="Microsoft YaHei" w:eastAsia="Microsoft YaHei" w:hAnsi="Microsoft YaHei" w:cs="Microsoft YaHei"/>
          <w:color w:val="333333"/>
          <w:sz w:val="27"/>
          <w:szCs w:val="27"/>
        </w:rPr>
      </w:pPr>
      <w:r>
        <w:rPr>
          <w:rFonts w:ascii="Microsoft YaHei" w:eastAsia="Microsoft YaHei" w:hAnsi="Microsoft YaHei" w:cs="Microsoft YaHei"/>
          <w:color w:val="333333"/>
          <w:sz w:val="27"/>
          <w:szCs w:val="27"/>
        </w:rPr>
        <w:t>注重以志愿服务为载体积极探索具有职业教育和行业教育特色的实践育人途径，大学生积极参与志愿服务项目活动专业化和常态化。优秀志愿服务团队和个人不断涌现。</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6.html" TargetMode="External" /><Relationship Id="rId13" Type="http://schemas.openxmlformats.org/officeDocument/2006/relationships/hyperlink" Target="http://www.gk114.com/a/gxzs/zszc/nmg/2021/0328/19165.html" TargetMode="External" /><Relationship Id="rId14" Type="http://schemas.openxmlformats.org/officeDocument/2006/relationships/hyperlink" Target="http://www.gk114.com/a/gxzs/zszc/nmg/2021/0328/19164.html" TargetMode="External" /><Relationship Id="rId15" Type="http://schemas.openxmlformats.org/officeDocument/2006/relationships/hyperlink" Target="http://www.gk114.com/a/gxzs/zszc/nmg/2021/0328/19163.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nmg/2021/0601/19680.html" TargetMode="External" /><Relationship Id="rId6" Type="http://schemas.openxmlformats.org/officeDocument/2006/relationships/hyperlink" Target="http://www.gk114.com/a/gxzs/zszc/nmg/2021/0630/20157.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